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BD5D6">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运控控制系统综合设计实验室建设标书</w:t>
      </w:r>
    </w:p>
    <w:p w14:paraId="2E87A5CF">
      <w:pPr>
        <w:keepNext w:val="0"/>
        <w:keepLines w:val="0"/>
        <w:pageBreakBefore w:val="0"/>
        <w:kinsoku/>
        <w:wordWrap/>
        <w:overflowPunct/>
        <w:topLinePunct w:val="0"/>
        <w:bidi w:val="0"/>
        <w:spacing w:line="560" w:lineRule="exact"/>
        <w:jc w:val="left"/>
        <w:rPr>
          <w:rFonts w:hint="eastAsia" w:ascii="黑体" w:hAnsi="黑体" w:eastAsia="黑体" w:cs="黑体"/>
          <w:sz w:val="32"/>
          <w:szCs w:val="32"/>
        </w:rPr>
      </w:pPr>
      <w:r>
        <w:rPr>
          <w:rFonts w:hint="eastAsia" w:ascii="黑体" w:hAnsi="黑体" w:eastAsia="黑体" w:cs="黑体"/>
          <w:sz w:val="32"/>
          <w:szCs w:val="32"/>
        </w:rPr>
        <w:t>一、主要功能要求</w:t>
      </w:r>
    </w:p>
    <w:p w14:paraId="6FDEC3D7">
      <w:pPr>
        <w:pStyle w:val="4"/>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运动控制系统综合设计实验室作为自动化专业、机器人工程专业、电子信息工程专业不可或缺的实践教学实验场地，肩负着自动控制系统综合设计、运动控制理论、电机与拖动实训、现代控制理论、计算机控制技术、智能控制技术、PLC实训等课程的需要。</w:t>
      </w:r>
    </w:p>
    <w:p w14:paraId="500BF3A9">
      <w:pPr>
        <w:pStyle w:val="4"/>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2.实验室能同时容纳50人，满足课程实验、集中实训、学科竞赛的需求。</w:t>
      </w:r>
    </w:p>
    <w:p w14:paraId="758F6B3D">
      <w:pPr>
        <w:pStyle w:val="4"/>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3.实验设备能够同时满足基础性实验、设计性实验、创新性实验、综合性实验的学习需求。</w:t>
      </w:r>
    </w:p>
    <w:p w14:paraId="261B957E">
      <w:pPr>
        <w:keepNext w:val="0"/>
        <w:keepLines w:val="0"/>
        <w:pageBreakBefore w:val="0"/>
        <w:kinsoku/>
        <w:wordWrap/>
        <w:overflowPunct/>
        <w:topLinePunct w:val="0"/>
        <w:bidi w:val="0"/>
        <w:spacing w:line="560" w:lineRule="exact"/>
        <w:jc w:val="left"/>
        <w:rPr>
          <w:rFonts w:hint="eastAsia" w:ascii="黑体" w:hAnsi="黑体" w:eastAsia="黑体" w:cs="黑体"/>
          <w:sz w:val="32"/>
          <w:szCs w:val="32"/>
        </w:rPr>
      </w:pPr>
      <w:r>
        <w:rPr>
          <w:rFonts w:hint="eastAsia" w:ascii="黑体" w:hAnsi="黑体" w:eastAsia="黑体" w:cs="黑体"/>
          <w:sz w:val="32"/>
          <w:szCs w:val="32"/>
        </w:rPr>
        <w:t>二、仪器设备清单</w:t>
      </w:r>
    </w:p>
    <w:tbl>
      <w:tblPr>
        <w:tblStyle w:val="8"/>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669"/>
        <w:gridCol w:w="2040"/>
      </w:tblGrid>
      <w:tr w14:paraId="7D81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4285E6B2">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5669" w:type="dxa"/>
            <w:vAlign w:val="center"/>
          </w:tcPr>
          <w:p w14:paraId="2D7EF08B">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设备名称</w:t>
            </w:r>
          </w:p>
        </w:tc>
        <w:tc>
          <w:tcPr>
            <w:tcW w:w="2040" w:type="dxa"/>
            <w:vAlign w:val="center"/>
          </w:tcPr>
          <w:p w14:paraId="5A9A3B08">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数量</w:t>
            </w:r>
          </w:p>
        </w:tc>
      </w:tr>
      <w:tr w14:paraId="33E7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29760419">
            <w:pPr>
              <w:pStyle w:val="10"/>
              <w:keepNext w:val="0"/>
              <w:keepLines w:val="0"/>
              <w:pageBreakBefore w:val="0"/>
              <w:kinsoku/>
              <w:wordWrap/>
              <w:overflowPunct/>
              <w:topLinePunct w:val="0"/>
              <w:bidi w:val="0"/>
              <w:spacing w:line="240" w:lineRule="auto"/>
              <w:ind w:right="16"/>
              <w:jc w:val="center"/>
              <w:rPr>
                <w:rFonts w:hint="eastAsia" w:eastAsia="宋体" w:cs="宋体"/>
                <w:sz w:val="24"/>
              </w:rPr>
            </w:pPr>
            <w:r>
              <w:rPr>
                <w:rFonts w:hint="eastAsia" w:eastAsia="宋体" w:cs="宋体"/>
                <w:sz w:val="24"/>
              </w:rPr>
              <w:t>1</w:t>
            </w:r>
          </w:p>
        </w:tc>
        <w:tc>
          <w:tcPr>
            <w:tcW w:w="5669" w:type="dxa"/>
            <w:vAlign w:val="center"/>
          </w:tcPr>
          <w:p w14:paraId="4B2BE4A9">
            <w:pPr>
              <w:keepNext w:val="0"/>
              <w:keepLines w:val="0"/>
              <w:pageBreakBefore w:val="0"/>
              <w:kinsoku/>
              <w:wordWrap/>
              <w:overflowPunct/>
              <w:topLinePunct w:val="0"/>
              <w:bidi w:val="0"/>
              <w:spacing w:line="240" w:lineRule="auto"/>
              <w:jc w:val="center"/>
              <w:rPr>
                <w:rFonts w:hint="eastAsia" w:ascii="宋体" w:hAnsi="宋体" w:eastAsia="宋体" w:cs="宋体"/>
                <w:kern w:val="0"/>
                <w:sz w:val="24"/>
              </w:rPr>
            </w:pPr>
            <w:bookmarkStart w:id="0" w:name="OLE_LINK5"/>
            <w:bookmarkStart w:id="1" w:name="OLE_LINK6"/>
            <w:bookmarkStart w:id="2" w:name="OLE_LINK4"/>
            <w:r>
              <w:rPr>
                <w:rFonts w:hint="eastAsia" w:ascii="宋体" w:hAnsi="宋体" w:eastAsia="宋体" w:cs="宋体"/>
                <w:kern w:val="0"/>
                <w:sz w:val="24"/>
              </w:rPr>
              <w:t>多轴综合运动控制</w:t>
            </w:r>
            <w:bookmarkEnd w:id="0"/>
            <w:bookmarkEnd w:id="1"/>
            <w:bookmarkEnd w:id="2"/>
            <w:r>
              <w:rPr>
                <w:rFonts w:hint="eastAsia" w:ascii="宋体" w:hAnsi="宋体" w:eastAsia="宋体" w:cs="宋体"/>
                <w:kern w:val="0"/>
                <w:sz w:val="24"/>
              </w:rPr>
              <w:t>实训装置</w:t>
            </w:r>
          </w:p>
        </w:tc>
        <w:tc>
          <w:tcPr>
            <w:tcW w:w="2040" w:type="dxa"/>
            <w:vAlign w:val="center"/>
          </w:tcPr>
          <w:p w14:paraId="35CB2686">
            <w:pPr>
              <w:keepNext w:val="0"/>
              <w:keepLines w:val="0"/>
              <w:pageBreakBefore w:val="0"/>
              <w:kinsoku/>
              <w:wordWrap/>
              <w:overflowPunct/>
              <w:topLinePunct w:val="0"/>
              <w:bidi w:val="0"/>
              <w:spacing w:line="240" w:lineRule="auto"/>
              <w:jc w:val="center"/>
              <w:rPr>
                <w:rFonts w:hint="eastAsia" w:ascii="宋体" w:hAnsi="宋体" w:eastAsia="宋体" w:cs="宋体"/>
                <w:kern w:val="0"/>
                <w:sz w:val="24"/>
              </w:rPr>
            </w:pPr>
            <w:r>
              <w:rPr>
                <w:rFonts w:hint="eastAsia" w:ascii="宋体" w:hAnsi="宋体" w:eastAsia="宋体" w:cs="宋体"/>
                <w:kern w:val="0"/>
                <w:sz w:val="24"/>
              </w:rPr>
              <w:t>12套</w:t>
            </w:r>
          </w:p>
        </w:tc>
      </w:tr>
      <w:tr w14:paraId="6F06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17ACAE3">
            <w:pPr>
              <w:pStyle w:val="10"/>
              <w:keepNext w:val="0"/>
              <w:keepLines w:val="0"/>
              <w:pageBreakBefore w:val="0"/>
              <w:kinsoku/>
              <w:wordWrap/>
              <w:overflowPunct/>
              <w:topLinePunct w:val="0"/>
              <w:bidi w:val="0"/>
              <w:spacing w:line="240" w:lineRule="auto"/>
              <w:ind w:right="16"/>
              <w:jc w:val="center"/>
              <w:rPr>
                <w:rFonts w:hint="eastAsia" w:eastAsia="宋体" w:cs="宋体"/>
                <w:sz w:val="24"/>
              </w:rPr>
            </w:pPr>
            <w:r>
              <w:rPr>
                <w:rFonts w:hint="eastAsia" w:eastAsia="宋体" w:cs="宋体"/>
                <w:sz w:val="24"/>
              </w:rPr>
              <w:t>2</w:t>
            </w:r>
          </w:p>
        </w:tc>
        <w:tc>
          <w:tcPr>
            <w:tcW w:w="5669" w:type="dxa"/>
            <w:vAlign w:val="center"/>
          </w:tcPr>
          <w:p w14:paraId="3BB3F949">
            <w:pPr>
              <w:keepNext w:val="0"/>
              <w:keepLines w:val="0"/>
              <w:pageBreakBefore w:val="0"/>
              <w:kinsoku/>
              <w:wordWrap/>
              <w:overflowPunct/>
              <w:topLinePunct w:val="0"/>
              <w:bidi w:val="0"/>
              <w:spacing w:line="240" w:lineRule="auto"/>
              <w:jc w:val="center"/>
              <w:rPr>
                <w:rFonts w:hint="eastAsia" w:ascii="宋体" w:hAnsi="宋体" w:eastAsia="宋体" w:cs="宋体"/>
                <w:kern w:val="0"/>
                <w:sz w:val="24"/>
              </w:rPr>
            </w:pPr>
            <w:r>
              <w:rPr>
                <w:rFonts w:hint="eastAsia" w:ascii="宋体" w:hAnsi="宋体" w:eastAsia="宋体" w:cs="宋体"/>
                <w:sz w:val="24"/>
              </w:rPr>
              <w:t>直线一级倒立摆系统</w:t>
            </w:r>
          </w:p>
        </w:tc>
        <w:tc>
          <w:tcPr>
            <w:tcW w:w="2040" w:type="dxa"/>
            <w:vAlign w:val="center"/>
          </w:tcPr>
          <w:p w14:paraId="10626215">
            <w:pPr>
              <w:keepNext w:val="0"/>
              <w:keepLines w:val="0"/>
              <w:pageBreakBefore w:val="0"/>
              <w:kinsoku/>
              <w:wordWrap/>
              <w:overflowPunct/>
              <w:topLinePunct w:val="0"/>
              <w:bidi w:val="0"/>
              <w:spacing w:line="240" w:lineRule="auto"/>
              <w:jc w:val="center"/>
              <w:rPr>
                <w:rFonts w:hint="eastAsia" w:ascii="宋体" w:hAnsi="宋体" w:eastAsia="宋体" w:cs="宋体"/>
                <w:kern w:val="0"/>
                <w:sz w:val="24"/>
              </w:rPr>
            </w:pPr>
            <w:r>
              <w:rPr>
                <w:rFonts w:hint="eastAsia" w:ascii="宋体" w:hAnsi="宋体" w:eastAsia="宋体" w:cs="宋体"/>
                <w:kern w:val="0"/>
                <w:sz w:val="24"/>
              </w:rPr>
              <w:t>4套</w:t>
            </w:r>
          </w:p>
        </w:tc>
      </w:tr>
      <w:tr w14:paraId="7984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7556F79C">
            <w:pPr>
              <w:pStyle w:val="10"/>
              <w:keepNext w:val="0"/>
              <w:keepLines w:val="0"/>
              <w:pageBreakBefore w:val="0"/>
              <w:kinsoku/>
              <w:wordWrap/>
              <w:overflowPunct/>
              <w:topLinePunct w:val="0"/>
              <w:bidi w:val="0"/>
              <w:spacing w:line="240" w:lineRule="auto"/>
              <w:ind w:right="16"/>
              <w:jc w:val="center"/>
              <w:rPr>
                <w:rFonts w:hint="eastAsia" w:eastAsia="宋体" w:cs="宋体"/>
                <w:sz w:val="24"/>
              </w:rPr>
            </w:pPr>
            <w:r>
              <w:rPr>
                <w:rFonts w:hint="eastAsia" w:eastAsia="宋体" w:cs="宋体"/>
                <w:sz w:val="24"/>
              </w:rPr>
              <w:t>3</w:t>
            </w:r>
          </w:p>
        </w:tc>
        <w:tc>
          <w:tcPr>
            <w:tcW w:w="5669" w:type="dxa"/>
            <w:vAlign w:val="center"/>
          </w:tcPr>
          <w:p w14:paraId="6105A82F">
            <w:pPr>
              <w:keepNext w:val="0"/>
              <w:keepLines w:val="0"/>
              <w:pageBreakBefore w:val="0"/>
              <w:kinsoku/>
              <w:wordWrap/>
              <w:overflowPunct/>
              <w:topLinePunct w:val="0"/>
              <w:bidi w:val="0"/>
              <w:spacing w:line="240" w:lineRule="auto"/>
              <w:jc w:val="center"/>
              <w:rPr>
                <w:rFonts w:hint="eastAsia" w:ascii="宋体" w:hAnsi="宋体" w:eastAsia="宋体" w:cs="宋体"/>
                <w:kern w:val="0"/>
                <w:sz w:val="24"/>
              </w:rPr>
            </w:pPr>
            <w:r>
              <w:rPr>
                <w:rFonts w:hint="eastAsia" w:ascii="宋体" w:hAnsi="宋体" w:eastAsia="宋体" w:cs="宋体"/>
                <w:kern w:val="0"/>
                <w:sz w:val="24"/>
              </w:rPr>
              <w:t>电梯仿真实训系统</w:t>
            </w:r>
          </w:p>
        </w:tc>
        <w:tc>
          <w:tcPr>
            <w:tcW w:w="2040" w:type="dxa"/>
            <w:vAlign w:val="center"/>
          </w:tcPr>
          <w:p w14:paraId="3C5CA743">
            <w:pPr>
              <w:keepNext w:val="0"/>
              <w:keepLines w:val="0"/>
              <w:pageBreakBefore w:val="0"/>
              <w:kinsoku/>
              <w:wordWrap/>
              <w:overflowPunct/>
              <w:topLinePunct w:val="0"/>
              <w:bidi w:val="0"/>
              <w:spacing w:line="240" w:lineRule="auto"/>
              <w:jc w:val="center"/>
              <w:rPr>
                <w:rFonts w:hint="eastAsia" w:ascii="宋体" w:hAnsi="宋体" w:eastAsia="宋体" w:cs="宋体"/>
                <w:kern w:val="0"/>
                <w:sz w:val="24"/>
              </w:rPr>
            </w:pPr>
            <w:r>
              <w:rPr>
                <w:rFonts w:hint="eastAsia" w:ascii="宋体" w:hAnsi="宋体" w:eastAsia="宋体" w:cs="宋体"/>
                <w:kern w:val="0"/>
                <w:sz w:val="24"/>
              </w:rPr>
              <w:t>1套</w:t>
            </w:r>
          </w:p>
        </w:tc>
      </w:tr>
    </w:tbl>
    <w:p w14:paraId="4BBE457B">
      <w:pPr>
        <w:keepNext w:val="0"/>
        <w:keepLines w:val="0"/>
        <w:pageBreakBefore w:val="0"/>
        <w:kinsoku/>
        <w:wordWrap/>
        <w:overflowPunct/>
        <w:topLinePunct w:val="0"/>
        <w:bidi w:val="0"/>
        <w:spacing w:line="560" w:lineRule="exact"/>
        <w:jc w:val="left"/>
        <w:rPr>
          <w:rFonts w:hint="eastAsia" w:ascii="黑体" w:hAnsi="黑体" w:eastAsia="黑体" w:cs="黑体"/>
          <w:sz w:val="32"/>
          <w:szCs w:val="32"/>
        </w:rPr>
      </w:pPr>
      <w:r>
        <w:rPr>
          <w:rFonts w:hint="eastAsia" w:ascii="黑体" w:hAnsi="黑体" w:eastAsia="黑体" w:cs="黑体"/>
          <w:sz w:val="32"/>
          <w:szCs w:val="32"/>
        </w:rPr>
        <w:t>三、技术参数</w:t>
      </w:r>
    </w:p>
    <w:tbl>
      <w:tblPr>
        <w:tblStyle w:val="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39"/>
        <w:gridCol w:w="5732"/>
        <w:gridCol w:w="816"/>
      </w:tblGrid>
      <w:tr w14:paraId="2302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76CF0CDA">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439" w:type="dxa"/>
            <w:vAlign w:val="center"/>
          </w:tcPr>
          <w:p w14:paraId="74282D0E">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设备名称</w:t>
            </w:r>
          </w:p>
        </w:tc>
        <w:tc>
          <w:tcPr>
            <w:tcW w:w="5732" w:type="dxa"/>
            <w:vAlign w:val="center"/>
          </w:tcPr>
          <w:p w14:paraId="7A206136">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color w:val="000000"/>
                <w:sz w:val="24"/>
              </w:rPr>
              <w:t>详细技术参数</w:t>
            </w:r>
          </w:p>
        </w:tc>
        <w:tc>
          <w:tcPr>
            <w:tcW w:w="816" w:type="dxa"/>
            <w:vAlign w:val="center"/>
          </w:tcPr>
          <w:p w14:paraId="7639603B">
            <w:pPr>
              <w:keepNext w:val="0"/>
              <w:keepLines w:val="0"/>
              <w:pageBreakBefore w:val="0"/>
              <w:kinsoku/>
              <w:wordWrap/>
              <w:overflowPunct/>
              <w:topLinePunct w:val="0"/>
              <w:bidi w:val="0"/>
              <w:spacing w:line="24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是否开源</w:t>
            </w:r>
          </w:p>
        </w:tc>
      </w:tr>
      <w:tr w14:paraId="1D09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960A5C5">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szCs w:val="21"/>
              </w:rPr>
            </w:pPr>
            <w:r>
              <w:rPr>
                <w:rFonts w:hint="eastAsia" w:ascii="宋体" w:hAnsi="宋体" w:eastAsia="宋体" w:cs="宋体"/>
                <w:color w:val="000000"/>
                <w:kern w:val="0"/>
                <w:szCs w:val="21"/>
              </w:rPr>
              <w:t>1</w:t>
            </w:r>
          </w:p>
        </w:tc>
        <w:tc>
          <w:tcPr>
            <w:tcW w:w="1439" w:type="dxa"/>
            <w:shd w:val="clear" w:color="auto" w:fill="auto"/>
            <w:vAlign w:val="center"/>
          </w:tcPr>
          <w:p w14:paraId="63A0B7F7">
            <w:pPr>
              <w:keepNext w:val="0"/>
              <w:keepLines w:val="0"/>
              <w:pageBreakBefore w:val="0"/>
              <w:kinsoku/>
              <w:wordWrap/>
              <w:overflowPunct/>
              <w:topLinePunct w:val="0"/>
              <w:bidi w:val="0"/>
              <w:spacing w:line="240" w:lineRule="auto"/>
              <w:jc w:val="center"/>
              <w:rPr>
                <w:rFonts w:hint="eastAsia" w:ascii="宋体" w:hAnsi="宋体" w:eastAsia="宋体" w:cs="宋体"/>
                <w:kern w:val="0"/>
                <w:szCs w:val="21"/>
              </w:rPr>
            </w:pPr>
            <w:r>
              <w:rPr>
                <w:rFonts w:hint="eastAsia" w:ascii="宋体" w:hAnsi="宋体" w:eastAsia="宋体" w:cs="宋体"/>
                <w:kern w:val="0"/>
                <w:szCs w:val="21"/>
              </w:rPr>
              <w:t>多轴综合运动控制实训装置</w:t>
            </w:r>
          </w:p>
        </w:tc>
        <w:tc>
          <w:tcPr>
            <w:tcW w:w="5732" w:type="dxa"/>
            <w:vAlign w:val="center"/>
          </w:tcPr>
          <w:p w14:paraId="1700DE9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一、主要功能要求：</w:t>
            </w:r>
          </w:p>
          <w:p w14:paraId="2F1185A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运动控制控制实训装置由电气系统、机械载体、虚拟组态终端构成，电气系统采用PLC工业总线，驱动单元包含伺服电机、步进电机。所设计的载体类型既包含典型的运动控制功能，也结合电气行业实际工程典型应用，通过模块化的组合，可以完成多轴同步、高速定位、分度控制、轨迹插补、飞剪、追剪、电子凸轮等常见运动控制功能的调试、优化等实训项目。</w:t>
            </w:r>
          </w:p>
          <w:p w14:paraId="6D68DE4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同时该设备采用虚实结合的研发思路，载体为独立的运动控制机构，应用场景则采用虚拟图形技术进行同步，可以帮助学生更好的理解和掌握运动控制技术。</w:t>
            </w:r>
          </w:p>
          <w:p w14:paraId="7A19048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二、技术参数</w:t>
            </w:r>
          </w:p>
          <w:p w14:paraId="4FAB2E9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1.交流电源：三相五线，AC380 V±10%，50Hz；</w:t>
            </w:r>
          </w:p>
          <w:p w14:paraId="2CEEE6F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2.温度：-10～50℃；环境湿度：≤90％无水珠凝结；</w:t>
            </w:r>
          </w:p>
          <w:p w14:paraId="3750419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3.控制柜外形尺寸：≥750mm×500mm×1500mm</w:t>
            </w:r>
          </w:p>
          <w:p w14:paraId="03E305D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4.工作桌外形尺寸：≥1000mm×800mm×1000mm；</w:t>
            </w:r>
          </w:p>
          <w:p w14:paraId="52F7313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5.整机功耗：≤1.5 kVA；</w:t>
            </w:r>
          </w:p>
          <w:p w14:paraId="2D786B5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6.安全保护措施：具有接地保护、漏电保护功能，安全性符合相关的国标标准。</w:t>
            </w:r>
          </w:p>
          <w:p w14:paraId="215EF1C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三、功能要求：</w:t>
            </w:r>
          </w:p>
          <w:p w14:paraId="55810C8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模块化的结构，便于进行课程组合，可完成单项运动控制功能实训，也可以组合完成复杂运动控制实训；</w:t>
            </w:r>
          </w:p>
          <w:p w14:paraId="6C94A50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包含多种运动控制类型，所有模块均由工程实际应用转化而来；</w:t>
            </w:r>
          </w:p>
          <w:p w14:paraId="1EB5A1E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电气控制与机械载体分开，便于重构各类型运动控制案例实训；</w:t>
            </w:r>
          </w:p>
          <w:p w14:paraId="0069C0F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电气控制采用主控制与分布式控制相结合，符合工业现场实际应用标准；</w:t>
            </w:r>
          </w:p>
          <w:p w14:paraId="1FFBCC9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采用虚实结合实时仿真技术，可以满足多种生产工艺类型的运动控制方案实训；</w:t>
            </w:r>
          </w:p>
          <w:p w14:paraId="4A25C91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采用真实机械运动功能部件、工业铝型材实训台，模块采用开放式平面结构，实训操作安全便捷，也便于进行实训过程与结果评价。</w:t>
            </w:r>
          </w:p>
          <w:p w14:paraId="02897F4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四、设备清单配置</w:t>
            </w:r>
          </w:p>
          <w:p w14:paraId="71B4F3F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控制柜：≥750mm×500mm×1500mm，1套；</w:t>
            </w:r>
          </w:p>
          <w:p w14:paraId="3C8FA4D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控制对象：≥1100mm×500mm×500mm，1套；</w:t>
            </w:r>
          </w:p>
          <w:p w14:paraId="3AE83315">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PLC主机+定位模块，CPU1500T-1+TMPTO4，1套；</w:t>
            </w:r>
          </w:p>
          <w:p w14:paraId="29783F8C">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分布式IO模块：</w:t>
            </w:r>
          </w:p>
          <w:p w14:paraId="2EBCC26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电源模块：≥10A，1个；</w:t>
            </w:r>
          </w:p>
          <w:p w14:paraId="28BAB35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计数器模块：TMCOUNT24V，1个；</w:t>
            </w:r>
          </w:p>
          <w:p w14:paraId="6FADAD1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西门子数字量输入模块：DI8，24VDC，2个；</w:t>
            </w:r>
          </w:p>
          <w:p w14:paraId="320A4A0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西门子数字量输出模块：DQ8，24VDC，1个；</w:t>
            </w:r>
          </w:p>
          <w:p w14:paraId="47458B8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西门子接口模块：PN标准型；</w:t>
            </w:r>
          </w:p>
          <w:p w14:paraId="17F575E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西门子通讯模块：2xRJ45，1套；</w:t>
            </w:r>
          </w:p>
          <w:p w14:paraId="37045DF1">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西门子伺服驱动器：≥0.2KW，2台；</w:t>
            </w:r>
          </w:p>
          <w:p w14:paraId="00B23201">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6.</w:t>
            </w:r>
            <w:r>
              <w:rPr>
                <w:rFonts w:hint="eastAsia" w:asciiTheme="minorEastAsia" w:hAnsiTheme="minorEastAsia" w:eastAsiaTheme="minorEastAsia" w:cstheme="minorEastAsia"/>
              </w:rPr>
              <w:t>西门子伺服电机：≥0.2KW，2台；</w:t>
            </w:r>
          </w:p>
          <w:p w14:paraId="126D89DE">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7.</w:t>
            </w:r>
            <w:r>
              <w:rPr>
                <w:rFonts w:hint="eastAsia" w:asciiTheme="minorEastAsia" w:hAnsiTheme="minorEastAsia" w:eastAsiaTheme="minorEastAsia" w:cstheme="minorEastAsia"/>
              </w:rPr>
              <w:t>西门子伺服驱动器：≥0.4KW，1台；</w:t>
            </w:r>
          </w:p>
          <w:p w14:paraId="576ADD97">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8.</w:t>
            </w:r>
            <w:r>
              <w:rPr>
                <w:rFonts w:hint="eastAsia" w:asciiTheme="minorEastAsia" w:hAnsiTheme="minorEastAsia" w:eastAsiaTheme="minorEastAsia" w:cstheme="minorEastAsia"/>
              </w:rPr>
              <w:t>西门子伺服电机：≥0.4KW，1台</w:t>
            </w:r>
          </w:p>
          <w:p w14:paraId="3900DC63">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rPr>
              <w:t>西门子触摸屏：≥7寸，1台；</w:t>
            </w:r>
          </w:p>
          <w:p w14:paraId="729E828C">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10.</w:t>
            </w:r>
            <w:r>
              <w:rPr>
                <w:rFonts w:hint="eastAsia" w:asciiTheme="minorEastAsia" w:hAnsiTheme="minorEastAsia" w:eastAsiaTheme="minorEastAsia" w:cstheme="minorEastAsia"/>
              </w:rPr>
              <w:t>漏电开关：1P+N 32A，1只；</w:t>
            </w:r>
          </w:p>
          <w:p w14:paraId="290A580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空气开关：2P5A</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，5只；</w:t>
            </w:r>
          </w:p>
          <w:p w14:paraId="4886176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断路器：1P3A，1只；</w:t>
            </w:r>
          </w:p>
          <w:p w14:paraId="483CD28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开关电源：DC24V，1块；</w:t>
            </w:r>
          </w:p>
          <w:p w14:paraId="06D8B0C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工业交换机：8口，1台；</w:t>
            </w:r>
          </w:p>
          <w:p w14:paraId="37BE2D8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步进电机：三相，3台；</w:t>
            </w:r>
          </w:p>
          <w:p w14:paraId="28A9D4D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6.</w:t>
            </w:r>
            <w:r>
              <w:rPr>
                <w:rFonts w:hint="eastAsia" w:asciiTheme="minorEastAsia" w:hAnsiTheme="minorEastAsia" w:eastAsiaTheme="minorEastAsia" w:cstheme="minorEastAsia"/>
              </w:rPr>
              <w:t>步进驱动器：三相，3台；</w:t>
            </w:r>
          </w:p>
          <w:p w14:paraId="4DC7CAC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7.</w:t>
            </w:r>
            <w:r>
              <w:rPr>
                <w:rFonts w:hint="eastAsia" w:asciiTheme="minorEastAsia" w:hAnsiTheme="minorEastAsia" w:eastAsiaTheme="minorEastAsia" w:cstheme="minorEastAsia"/>
              </w:rPr>
              <w:t>JSCC力矩电机：带减速箱+驱动器，AC220V，2套。</w:t>
            </w:r>
          </w:p>
          <w:p w14:paraId="244888A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五、教学资源</w:t>
            </w:r>
          </w:p>
          <w:p w14:paraId="061249C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1.实训项目：</w:t>
            </w:r>
          </w:p>
          <w:p w14:paraId="2DD757A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本装置实训项目内容包含PLC、伺服驱动器、步进驱动器、调速器等的基本操作与编程实训。实训项目如下：</w:t>
            </w:r>
          </w:p>
          <w:p w14:paraId="4BDA6F10">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1</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多轴同步控制实训</w:t>
            </w:r>
          </w:p>
          <w:p w14:paraId="440017ED">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2</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高速定位控制实训</w:t>
            </w:r>
          </w:p>
          <w:p w14:paraId="59392A15">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3</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轨迹插补控制实训</w:t>
            </w:r>
          </w:p>
          <w:p w14:paraId="28372797">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4</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飞剪控制实训</w:t>
            </w:r>
          </w:p>
          <w:p w14:paraId="0372E253">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5</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追剪控制实训</w:t>
            </w:r>
          </w:p>
          <w:p w14:paraId="7C0AAA1D">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6</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电子凸轮控制实训</w:t>
            </w:r>
          </w:p>
          <w:p w14:paraId="39666A75">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7</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同步跟随运行控制实训</w:t>
            </w:r>
          </w:p>
          <w:p w14:paraId="0051633D">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8</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单轴的配置与管理实训</w:t>
            </w:r>
          </w:p>
          <w:p w14:paraId="7FE214CE">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9</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实轴的添加与配置实训</w:t>
            </w:r>
          </w:p>
          <w:p w14:paraId="68701FA5">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10</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虚轴的添加与配置实训</w:t>
            </w:r>
          </w:p>
          <w:p w14:paraId="2681F3A7">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11</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实轴与虚轴的组合管理实训</w:t>
            </w:r>
          </w:p>
          <w:p w14:paraId="0AD1029F">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12</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凸轮表配置与修改实训</w:t>
            </w:r>
          </w:p>
          <w:p w14:paraId="5567781D">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13</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总线型伺服系统调试与优化实训</w:t>
            </w:r>
          </w:p>
          <w:p w14:paraId="0473E1A9">
            <w:pPr>
              <w:numPr>
                <w:ilvl w:val="0"/>
                <w:numId w:val="0"/>
              </w:numPr>
              <w:ind w:left="425" w:leftChars="0" w:hanging="425" w:firstLineChars="0"/>
              <w:rPr>
                <w:rFonts w:hint="eastAsia" w:asciiTheme="minorEastAsia" w:hAnsiTheme="minorEastAsia" w:eastAsiaTheme="minorEastAsia" w:cstheme="minorEastAsia"/>
              </w:rPr>
            </w:pPr>
            <w:r>
              <w:rPr>
                <w:rFonts w:hint="default" w:asciiTheme="minorEastAsia" w:hAnsiTheme="minorEastAsia" w:eastAsiaTheme="minorEastAsia" w:cstheme="minorEastAsia"/>
                <w:kern w:val="2"/>
                <w:sz w:val="21"/>
                <w:szCs w:val="24"/>
                <w:lang w:val="en-US" w:eastAsia="zh-CN" w:bidi="ar-SA"/>
              </w:rPr>
              <w:t>14</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步进电机运动控制实训</w:t>
            </w:r>
          </w:p>
          <w:p w14:paraId="0B4989F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2.智能制造数字孪生仿真软件</w:t>
            </w:r>
          </w:p>
          <w:p w14:paraId="1AC3677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智能制造数字孪生实训一体化平台软件为国产正版软件，要求能够涵盖智能制造基础（PLC、机器人、视觉等）实训以及智能管控、产线设计、仓储设计等高阶实训。软件内置丰富的数字孪生实训场景资源，包括但不限于PLC、工业机器人、机器视觉、产线设计、仓储设计等相关场景以及需针对用户现场实物产线做数字孪生定制开发，并转化为教学场景资源，作为智能产线综合实践前置课程。</w:t>
            </w:r>
          </w:p>
          <w:p w14:paraId="3F15776E">
            <w:pPr>
              <w:ind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该软件为国产正版软件，不基于UE、Unity国外商用游戏引擎开发；</w:t>
            </w:r>
            <w:r>
              <w:rPr>
                <w:rFonts w:hint="eastAsia" w:asciiTheme="minorEastAsia" w:hAnsiTheme="minorEastAsia" w:eastAsiaTheme="minorEastAsia" w:cstheme="minorEastAsia"/>
                <w:b/>
                <w:bCs/>
              </w:rPr>
              <w:t>（为避免知识产权纠纷，投标时需提供厂家相关资质证明文件及针对此项目的授权函）</w:t>
            </w:r>
          </w:p>
          <w:p w14:paraId="1F77FD79">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软件界面功能：</w:t>
            </w:r>
          </w:p>
          <w:p w14:paraId="08D5F8B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软件界面具备模型搜索功能，可通过输⼊关键字快速搜索所需数模，通过点击模型来导⼊场景中；</w:t>
            </w:r>
          </w:p>
          <w:p w14:paraId="49D61F0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软件系统具备四种视角功能，除去常规的三视图视角，此外还具备透视视角；</w:t>
            </w:r>
          </w:p>
          <w:p w14:paraId="0520BBC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软件系统具备场景树功能，虚拟场景中产线构成的所有模块，可在场景数中按照模块展开进行分类，同时可以一键生成Boom清单并导出，BOM清单内容包括但不限于设备名称、设备型号、设备数量、设备编码等信息</w:t>
            </w:r>
          </w:p>
          <w:p w14:paraId="036AE53E">
            <w:pPr>
              <w:rPr>
                <w:rFonts w:hint="eastAsia" w:asciiTheme="minorEastAsia" w:hAnsiTheme="minorEastAsia" w:eastAsiaTheme="minorEastAsia" w:cstheme="minorEastAsia"/>
              </w:rPr>
            </w:pPr>
            <w:r>
              <w:rPr>
                <w:rFonts w:hint="eastAsia" w:asciiTheme="minorEastAsia" w:hAnsiTheme="minorEastAsia" w:cstheme="minorEastAsia"/>
                <w:kern w:val="2"/>
                <w:sz w:val="21"/>
                <w:szCs w:val="24"/>
                <w:lang w:val="en-US" w:eastAsia="zh-CN" w:bidi="ar-SA"/>
              </w:rPr>
              <w:t>2）</w:t>
            </w:r>
            <w:r>
              <w:rPr>
                <w:rFonts w:hint="eastAsia" w:asciiTheme="minorEastAsia" w:hAnsiTheme="minorEastAsia" w:eastAsiaTheme="minorEastAsia" w:cstheme="minorEastAsia"/>
              </w:rPr>
              <w:t>模型库资源：</w:t>
            </w:r>
          </w:p>
          <w:p w14:paraId="1BBC7A2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模型库中的总数模量不少于5000种，可参数化模型不少于1000种，按照不同的功能可分为9大类，包含机器人、供料装置、移料装置、工艺装置、辅助装置、基础几何体等；</w:t>
            </w:r>
          </w:p>
          <w:p w14:paraId="5316E9B4">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模型快速布局功能：</w:t>
            </w:r>
          </w:p>
          <w:p w14:paraId="5BEBE5F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支持坐标值最小点对齐、中心点对齐、坐标最大值对齐、相反面对齐、中心与面对齐、面与中心对齐等功能；</w:t>
            </w:r>
          </w:p>
          <w:p w14:paraId="7D5A8E96">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4</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模型导入、编辑功能：</w:t>
            </w:r>
          </w:p>
          <w:p w14:paraId="46F0FD45">
            <w:pPr>
              <w:spacing w:line="240" w:lineRule="atLeas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含机理模型导入功能，支持GLB\STEP\FBX\PLY等7种格式的模型导入；</w:t>
            </w:r>
          </w:p>
          <w:p w14:paraId="51FEA5CB">
            <w:pPr>
              <w:spacing w:line="240" w:lineRule="atLeas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含机理模型模块化配置功能：支持对导入的机理模型进行机理配置；进行模型适配。</w:t>
            </w:r>
          </w:p>
          <w:p w14:paraId="59173469">
            <w:pPr>
              <w:spacing w:line="240" w:lineRule="atLeas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可参数化功能，不仅支持模型长宽高的变化，也可支持模型结构形式的变化；</w:t>
            </w:r>
          </w:p>
          <w:p w14:paraId="0AEE7695">
            <w:pPr>
              <w:spacing w:line="240" w:lineRule="atLeas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软件系统可通过模型编辑器自行导⼊模型并编辑，实现模型的仿真建模。支持FBX,STP,STEP,GLB,GLTF,OBJ,STL等七种常规格式；</w:t>
            </w:r>
          </w:p>
          <w:p w14:paraId="4E33DE7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用户可自行对模型进行仿真运动建模处理。模型在模型编辑器会显示模型的原本的子节点。用户可定义运动关节，对各节点进行碰撞盒，坐标系、运动方式配置定义，以支持模型的运动；</w:t>
            </w:r>
          </w:p>
          <w:p w14:paraId="0862CCA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导出模型及配置：导出模型可直接在FSM软件内进行使用，并通过OPCUA等通信协议进行节点绑定后，通过外部控制器进行控制；</w:t>
            </w:r>
          </w:p>
          <w:p w14:paraId="144D55FA">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5</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软件示教模块：</w:t>
            </w:r>
          </w:p>
          <w:p w14:paraId="267AF1D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可连接外部真实/虚拟示教器对软件场景中的机器人模型进行示教；搭配的实体示教器可一示教器配多机器人，在一个示教器上进行示教；</w:t>
            </w:r>
          </w:p>
          <w:p w14:paraId="5E0A35F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所有机器人模型都可进行拖动和点动示教，同时，可在软件种进行示教速度的调整，同时可记录HOME点；所有六轴机器人、SCARA以及模组机器人全部可在场景中对机器⼈的关节和笛卡尔进行点动与拖动示教；</w:t>
            </w:r>
          </w:p>
          <w:p w14:paraId="21B502CA">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6</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设备搭建功能：</w:t>
            </w:r>
          </w:p>
          <w:p w14:paraId="76FCC04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具备快速贴合安装功能，具有特征点识别功能，且模型均支持特征点的识别，方便用户快速的找到想要搭配模型时的位置，比如更快速的摆放机器⼈位置，更快速的找到工具坐标系的原点，更快速的找到需要面对齐的模型特特征面等；</w:t>
            </w:r>
          </w:p>
          <w:p w14:paraId="7C4A01AD">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7</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仿真调试功能：</w:t>
            </w:r>
          </w:p>
          <w:p w14:paraId="354AD718">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软件具备低代码编程，包含常用的PTP/LIN/IF/WHILE</w:t>
            </w:r>
          </w:p>
          <w:p w14:paraId="7EACD987">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/WAIT/ASSIGN/SETLO等九种指令模式；</w:t>
            </w:r>
          </w:p>
          <w:p w14:paraId="25E6204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具备智能轨迹规划算法，用户可对机器⼈进行施工工艺下的智能轨迹规划，该功能下，用户可自行导入材料类型或拖拽公共库中的物料模型作为对象。用户能够在材料上选择想要进行施工作业的点（或用户在空间中自行建立的坐标系）/线；</w:t>
            </w:r>
          </w:p>
          <w:p w14:paraId="625A7EB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机器人仿真控制：支持ABB、KUKA、FANUC、YASKAWA、三菱、埃夫特、史陶比尔等国际知名的工业六轴机器人产品，同时也支持，UR、越疆、法奥等协作机器人品牌；</w:t>
            </w:r>
          </w:p>
          <w:p w14:paraId="02826B16">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软件还支持多类型的通信协议，可实现与主流品牌PLC信号交互，包含西门子、三菱、汇川等，支持 ModbusTCP</w:t>
            </w:r>
            <w:r>
              <w:rPr>
                <w:rFonts w:hint="eastAsia" w:asciiTheme="minorEastAsia" w:hAnsiTheme="minorEastAsia" w:cstheme="minorEastAsia"/>
                <w:lang w:eastAsia="zh-CN"/>
              </w:rPr>
              <w:t>，</w:t>
            </w:r>
            <w:r>
              <w:rPr>
                <w:rFonts w:hint="eastAsia" w:asciiTheme="minorEastAsia" w:hAnsiTheme="minorEastAsia" w:eastAsiaTheme="minorEastAsia" w:cstheme="minorEastAsia"/>
              </w:rPr>
              <w:t>OPCUA</w:t>
            </w:r>
            <w:r>
              <w:rPr>
                <w:rFonts w:hint="eastAsia" w:asciiTheme="minorEastAsia" w:hAnsiTheme="minorEastAsia" w:cstheme="minorEastAsia"/>
                <w:lang w:eastAsia="zh-CN"/>
              </w:rPr>
              <w:t>，</w:t>
            </w:r>
            <w:r>
              <w:rPr>
                <w:rFonts w:hint="eastAsia" w:asciiTheme="minorEastAsia" w:hAnsiTheme="minorEastAsia" w:eastAsiaTheme="minorEastAsia" w:cstheme="minorEastAsia"/>
              </w:rPr>
              <w:t>S7等总线通讯协议；</w:t>
            </w:r>
          </w:p>
          <w:p w14:paraId="139FF4D2">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8</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产线设计建模仿真实训</w:t>
            </w:r>
          </w:p>
          <w:p w14:paraId="6C0F850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具有模型封装、单元封装、场景布局、控制程序编辑等功能模块，支持产线设计、产线变型设计，支持生产线的快速搭建与仿真运行；</w:t>
            </w:r>
          </w:p>
          <w:p w14:paraId="023008C6">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9</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设备看板功能</w:t>
            </w:r>
          </w:p>
          <w:p w14:paraId="21C44FC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含设备名称显示功能；产品类型和数量显示功能；</w:t>
            </w:r>
          </w:p>
          <w:p w14:paraId="18CDF267">
            <w:pPr>
              <w:ind w:firstLine="420" w:firstLineChars="20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rPr>
              <w:t>实时查看仿真过程中设备运行的状态的功能包括但不限于设备的运行值、临界值、设备状态等信息。</w:t>
            </w:r>
          </w:p>
        </w:tc>
        <w:tc>
          <w:tcPr>
            <w:tcW w:w="816" w:type="dxa"/>
            <w:vAlign w:val="center"/>
          </w:tcPr>
          <w:p w14:paraId="23D83BBE">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spacing w:val="-2"/>
                <w:szCs w:val="21"/>
              </w:rPr>
            </w:pPr>
            <w:r>
              <w:rPr>
                <w:rFonts w:hint="eastAsia" w:ascii="宋体" w:hAnsi="宋体" w:eastAsia="宋体" w:cs="宋体"/>
                <w:spacing w:val="-2"/>
                <w:szCs w:val="21"/>
              </w:rPr>
              <w:t>是</w:t>
            </w:r>
          </w:p>
        </w:tc>
      </w:tr>
      <w:tr w14:paraId="3391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6F2DA9E">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439" w:type="dxa"/>
            <w:shd w:val="clear" w:color="auto" w:fill="auto"/>
            <w:vAlign w:val="center"/>
          </w:tcPr>
          <w:p w14:paraId="15F156A2">
            <w:pPr>
              <w:keepNext w:val="0"/>
              <w:keepLines w:val="0"/>
              <w:pageBreakBefore w:val="0"/>
              <w:kinsoku/>
              <w:wordWrap/>
              <w:overflowPunct/>
              <w:topLinePunct w:val="0"/>
              <w:bidi w:val="0"/>
              <w:spacing w:line="240" w:lineRule="auto"/>
              <w:jc w:val="center"/>
              <w:rPr>
                <w:rFonts w:hint="eastAsia" w:ascii="宋体" w:hAnsi="宋体" w:eastAsia="宋体" w:cs="宋体"/>
                <w:kern w:val="0"/>
                <w:szCs w:val="21"/>
              </w:rPr>
            </w:pPr>
            <w:r>
              <w:rPr>
                <w:rFonts w:hint="eastAsia" w:ascii="宋体" w:hAnsi="宋体" w:eastAsia="宋体" w:cs="宋体"/>
                <w:szCs w:val="21"/>
              </w:rPr>
              <w:t>直线一级倒立摆系统</w:t>
            </w:r>
          </w:p>
        </w:tc>
        <w:tc>
          <w:tcPr>
            <w:tcW w:w="5732" w:type="dxa"/>
            <w:vAlign w:val="center"/>
          </w:tcPr>
          <w:p w14:paraId="04DC6D25">
            <w:pPr>
              <w:numPr>
                <w:ilvl w:val="0"/>
                <w:numId w:val="1"/>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主要功能要求：</w:t>
            </w:r>
          </w:p>
          <w:p w14:paraId="4B0C2487">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直线一级倒立摆系统是一个绝对不稳定、高阶次、多变量、强耦合的非线性系统，作为一个典型的控制对象对其进行研究，系统需包含倒立摆本体和兼容Matlab/Simulink工具包，可以实现控制原理实验和控制类课程的开放实验。</w:t>
            </w:r>
          </w:p>
          <w:p w14:paraId="20EC5439">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二、整体控制方案</w:t>
            </w:r>
          </w:p>
          <w:p w14:paraId="152AF392">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1.采用硬件在环控制策略，支持在线实时修改控制器参数；</w:t>
            </w:r>
          </w:p>
          <w:p w14:paraId="27E9C637">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2.运行环境为windows环境下的桌面实时系统，无需第三方软件转换编译下载；</w:t>
            </w:r>
          </w:p>
          <w:p w14:paraId="6266B6DE">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3.设备本体电控箱需采用一体化设计，电脑与实验箱采用网线连接。</w:t>
            </w:r>
          </w:p>
          <w:p w14:paraId="5EE2E840">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、控制器</w:t>
            </w:r>
          </w:p>
          <w:p w14:paraId="3CF1D9F7">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1.PCIe插卡式，支持不少于4轴同步控制，可扩展总线和轴模块组网，具备多阶陷波滤波功能；</w:t>
            </w:r>
          </w:p>
          <w:p w14:paraId="50E06741">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2.支持五轴RTCP算法、龙门控制；</w:t>
            </w:r>
          </w:p>
          <w:p w14:paraId="4B36127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3.控制伺服周期不大于250us，脉冲最大输出频率不低于1MHz；</w:t>
            </w:r>
          </w:p>
          <w:p w14:paraId="7CA7F5CB">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4.开放性支持：Windows系统下的VC、VB及Delphi动态链接库，支持S-曲线模式、梯形曲线模式、速度控制模式及电子齿轮、电子凸轮模式，支持点位运动、同步运动、PT运动、PVT运动、自动回零；</w:t>
            </w:r>
          </w:p>
          <w:p w14:paraId="661CD525">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5.输入输出：每轴支持1路模拟量输出。支持MPG和绝对编码器，支持不低于100路DI、不低于64路高速DO，支持扩展输入输出单元和模拟量输入输出单元。</w:t>
            </w:r>
          </w:p>
          <w:p w14:paraId="2E2304D5">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6.操作系统：支持win xp\win 7\win8\win10\Linux,开发语言支持C/C++、C#、VB.NET、VB、matlab；</w:t>
            </w:r>
          </w:p>
          <w:p w14:paraId="0D41AC12">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、设备本体：</w:t>
            </w:r>
          </w:p>
          <w:p w14:paraId="7C8D609F">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1.本体尺寸：≥1000*280*650mm；</w:t>
            </w:r>
          </w:p>
          <w:p w14:paraId="4489A33B">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2、电机：交流伺服电机，功率≥200W；电机编码器分辨率：≥2500p/r。</w:t>
            </w:r>
          </w:p>
          <w:p w14:paraId="711A25DE">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3.摆杆旋转编码器线数：≥500p/r；</w:t>
            </w:r>
          </w:p>
          <w:p w14:paraId="6EBA37E8">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、伺服驱动器</w:t>
            </w:r>
          </w:p>
          <w:p w14:paraId="51D0A900">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1.总线式伺服驱动器；可驱动多种电机，包括旋转伺服电机、直线电机、直流无刷电机、DD马达；</w:t>
            </w:r>
          </w:p>
          <w:p w14:paraId="6151374F">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2.支持多种编码器类型:增量编码器、绝对值编码器、霍尔传感器、旋转变压器、正余弦编码器；</w:t>
            </w:r>
          </w:p>
          <w:p w14:paraId="7B403D0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3.全闭环控制功能：支持多种编码器：编码器支持增量式、绝对值、旋变、正余弦、霍尔编码器；全闭环第二路编码器支持正余弦、增量式编码器；可选择旋转编码器或直线编码器回零；定位精度可达±1 Pulse。</w:t>
            </w:r>
          </w:p>
          <w:p w14:paraId="651409CC">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IO点位控制功能：控制器只需发送相应IO，驱动器可自行规划运动及定位。</w:t>
            </w:r>
          </w:p>
          <w:p w14:paraId="3CBAB86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六</w:t>
            </w:r>
            <w:r>
              <w:rPr>
                <w:rFonts w:hint="eastAsia" w:asciiTheme="minorEastAsia" w:hAnsiTheme="minorEastAsia" w:eastAsiaTheme="minorEastAsia" w:cstheme="minorEastAsia"/>
                <w:szCs w:val="21"/>
              </w:rPr>
              <w:t>、开发工具包</w:t>
            </w:r>
          </w:p>
          <w:p w14:paraId="65D4C70F">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1.内置Matlab/Simulink的数字IO输入输出、模拟量输入输出、脉冲发送与接收指令功能，支持用户基于该工具包自主搭建软件环境，无需第三方软件再转换实时编程。</w:t>
            </w:r>
          </w:p>
          <w:p w14:paraId="653A9491">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2.伺服驱动调试软件：调试软件界面内置环路原理图，三环调试更加便捷、直观；可自行设定电流折返参数，提高驱动器和电机的安全等级；支持惯量自整定及变结构控制器。</w:t>
            </w:r>
          </w:p>
          <w:p w14:paraId="04EA8988">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七</w:t>
            </w:r>
            <w:r>
              <w:rPr>
                <w:rFonts w:hint="eastAsia" w:asciiTheme="minorEastAsia" w:hAnsiTheme="minorEastAsia" w:eastAsiaTheme="minorEastAsia" w:cstheme="minorEastAsia"/>
                <w:szCs w:val="21"/>
              </w:rPr>
              <w:t>、支撑的实验项目</w:t>
            </w:r>
            <w:r>
              <w:rPr>
                <w:rFonts w:hint="eastAsia" w:asciiTheme="minorEastAsia" w:hAnsiTheme="minorEastAsia" w:eastAsiaTheme="minorEastAsia" w:cstheme="minorEastAsia"/>
                <w:szCs w:val="21"/>
              </w:rPr>
              <w:tab/>
            </w:r>
          </w:p>
          <w:p w14:paraId="02C4E329">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1.系统建模和稳定性分析；</w:t>
            </w:r>
          </w:p>
          <w:p w14:paraId="352A9D8A">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2.根轨迹校正；</w:t>
            </w:r>
          </w:p>
          <w:p w14:paraId="6694D8BB">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3.PID法校正；</w:t>
            </w:r>
          </w:p>
          <w:p w14:paraId="6EAD81BA">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4.频域法校正；</w:t>
            </w:r>
          </w:p>
          <w:p w14:paraId="1C81BFC1">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5.根轨迹符合法校正；</w:t>
            </w:r>
          </w:p>
          <w:p w14:paraId="20781023">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6.PID法复合校正；</w:t>
            </w:r>
          </w:p>
          <w:p w14:paraId="39CBC126">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7.频域法复合校正；</w:t>
            </w:r>
          </w:p>
          <w:p w14:paraId="57B1E780">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8.复合校正的分析及改进；</w:t>
            </w:r>
          </w:p>
          <w:p w14:paraId="42616267">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9.状态反馈控制；</w:t>
            </w:r>
          </w:p>
          <w:p w14:paraId="193CF202">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10.LQR控制；</w:t>
            </w:r>
          </w:p>
          <w:p w14:paraId="748EA74E">
            <w:pPr>
              <w:tabs>
                <w:tab w:val="left" w:pos="215"/>
              </w:tabs>
              <w:autoSpaceDE w:val="0"/>
              <w:autoSpaceDN w:val="0"/>
              <w:adjustRightInd w:val="0"/>
              <w:snapToGrid w:val="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zCs w:val="21"/>
              </w:rPr>
              <w:t>11.神经网络实验。</w:t>
            </w:r>
          </w:p>
        </w:tc>
        <w:tc>
          <w:tcPr>
            <w:tcW w:w="816" w:type="dxa"/>
            <w:vAlign w:val="center"/>
          </w:tcPr>
          <w:p w14:paraId="0C1F9E00">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spacing w:val="-2"/>
                <w:szCs w:val="21"/>
              </w:rPr>
            </w:pPr>
            <w:r>
              <w:rPr>
                <w:rFonts w:hint="eastAsia" w:ascii="宋体" w:hAnsi="宋体" w:eastAsia="宋体" w:cs="宋体"/>
                <w:spacing w:val="-2"/>
                <w:szCs w:val="21"/>
              </w:rPr>
              <w:t>是</w:t>
            </w:r>
          </w:p>
        </w:tc>
      </w:tr>
      <w:tr w14:paraId="11A8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6BB86CC9">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439" w:type="dxa"/>
            <w:shd w:val="clear" w:color="auto" w:fill="auto"/>
            <w:vAlign w:val="center"/>
          </w:tcPr>
          <w:p w14:paraId="21B78F51">
            <w:pPr>
              <w:keepNext w:val="0"/>
              <w:keepLines w:val="0"/>
              <w:pageBreakBefore w:val="0"/>
              <w:kinsoku/>
              <w:wordWrap/>
              <w:overflowPunct/>
              <w:topLinePunct w:val="0"/>
              <w:bidi w:val="0"/>
              <w:spacing w:line="240" w:lineRule="auto"/>
              <w:jc w:val="center"/>
              <w:rPr>
                <w:rFonts w:hint="eastAsia" w:ascii="宋体" w:hAnsi="宋体" w:eastAsia="宋体" w:cs="宋体"/>
                <w:kern w:val="0"/>
                <w:szCs w:val="21"/>
              </w:rPr>
            </w:pPr>
            <w:r>
              <w:rPr>
                <w:rFonts w:hint="eastAsia" w:ascii="宋体" w:hAnsi="宋体" w:eastAsia="宋体" w:cs="宋体"/>
                <w:kern w:val="0"/>
                <w:szCs w:val="21"/>
              </w:rPr>
              <w:t>电梯仿真实训系统</w:t>
            </w:r>
          </w:p>
        </w:tc>
        <w:tc>
          <w:tcPr>
            <w:tcW w:w="5732" w:type="dxa"/>
            <w:vAlign w:val="center"/>
          </w:tcPr>
          <w:p w14:paraId="4905DE16">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一、控制系统技术参数：</w:t>
            </w:r>
          </w:p>
          <w:p w14:paraId="4B5F6209">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1套可编程控制器：</w:t>
            </w:r>
          </w:p>
          <w:p w14:paraId="3E1F5604">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控制器CPU：集成输入/输出：1个PROFINET接口，机载I/O：14个24V DC数字输入；10个24V DC数字输出；AI 0-10V DC，电源：20.4-28.8V DC，程序/数据存储器空间50KB；</w:t>
            </w:r>
          </w:p>
          <w:p w14:paraId="52BF3AD5">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1套Profibus主站模块</w:t>
            </w:r>
          </w:p>
          <w:p w14:paraId="56C640AC">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用于控制器，ProfiBus CM通信服务总线协议，可与DP-V0/V1从站进行通讯；</w:t>
            </w:r>
          </w:p>
          <w:p w14:paraId="14A9DED8">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1套Profibus从站模块：</w:t>
            </w:r>
          </w:p>
          <w:p w14:paraId="49BC9A22">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通讯模块，将RS485信号转换成Profibus DP信号输出，使控制对象可通过Profibus通讯方式与PLC/ DCS交互；</w:t>
            </w:r>
          </w:p>
          <w:p w14:paraId="4B4CA12D">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1套单相24V电源：</w:t>
            </w:r>
          </w:p>
          <w:p w14:paraId="4AFCB861">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输入：120/230V AC，输出：24V DC/2.5A；</w:t>
            </w:r>
          </w:p>
          <w:p w14:paraId="7EEF21FF">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2个总线连接器：</w:t>
            </w:r>
          </w:p>
          <w:p w14:paraId="22A1C307">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带电缆出口的Profibus FastConnect RS485，带绝缘刺破接口，最大数据传输速率12Mbit/s；</w:t>
            </w:r>
          </w:p>
          <w:p w14:paraId="3EF3DA9C">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1套ProfiBus电缆：</w:t>
            </w:r>
          </w:p>
          <w:p w14:paraId="6700C9CD">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Profibus FastConnect标准电缆，快速安装，2芯屏蔽；</w:t>
            </w:r>
          </w:p>
          <w:p w14:paraId="7EAA8F20">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rPr>
              <w:t>1台工业以太网交换机：</w:t>
            </w:r>
          </w:p>
          <w:p w14:paraId="78B3B1F7">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10/100MBIT/S 的非管理型工业以太网交换机。</w:t>
            </w:r>
          </w:p>
          <w:p w14:paraId="0B68CD3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二、工艺对象主体设备</w:t>
            </w:r>
          </w:p>
          <w:p w14:paraId="3CAABC4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1台嵌入式工业计算机；</w:t>
            </w:r>
          </w:p>
          <w:p w14:paraId="3A71588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1台液晶显示器，1个鼠标，1个键盘；</w:t>
            </w:r>
          </w:p>
          <w:p w14:paraId="31C3E51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1个通讯转换模块，支持RS485现场总线通讯；</w:t>
            </w:r>
          </w:p>
          <w:p w14:paraId="359576C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1台标准控制屏（台式），H600*W600*D300，含成套集成电气元器件。</w:t>
            </w:r>
          </w:p>
          <w:p w14:paraId="691649F1">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三、虚拟仿真软件</w:t>
            </w:r>
          </w:p>
          <w:p w14:paraId="0D100D4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1套虚拟仿真软件，要求如下功能：</w:t>
            </w:r>
          </w:p>
          <w:p w14:paraId="32C440F9">
            <w:pPr>
              <w:numPr>
                <w:ilvl w:val="0"/>
                <w:numId w:val="2"/>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于虚拟现实技术的三维可视化环境，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p>
          <w:p w14:paraId="62B19025">
            <w:pPr>
              <w:numPr>
                <w:ilvl w:val="0"/>
                <w:numId w:val="2"/>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高精度的多电梯逻辑控制数学模型，能够任意配置呼叫乘客，以及配置可以考察控制效果的评分规则。</w:t>
            </w:r>
          </w:p>
          <w:p w14:paraId="7AE56F10">
            <w:pPr>
              <w:numPr>
                <w:ilvl w:val="0"/>
                <w:numId w:val="2"/>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完整的多电梯运行工况模拟。</w:t>
            </w:r>
          </w:p>
          <w:p w14:paraId="24719E2C">
            <w:pPr>
              <w:numPr>
                <w:ilvl w:val="0"/>
                <w:numId w:val="2"/>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完善的实验教学环境。</w:t>
            </w:r>
          </w:p>
          <w:p w14:paraId="65F0D0AF">
            <w:pPr>
              <w:numPr>
                <w:ilvl w:val="0"/>
                <w:numId w:val="2"/>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与控制器构成硬件在回路仿真。</w:t>
            </w:r>
          </w:p>
          <w:p w14:paraId="5411CEA4">
            <w:pPr>
              <w:numPr>
                <w:ilvl w:val="0"/>
                <w:numId w:val="2"/>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支持Profibus-DP、工业以太网以及OPC通信方式。</w:t>
            </w:r>
          </w:p>
          <w:p w14:paraId="1414B10F">
            <w:pPr>
              <w:numPr>
                <w:ilvl w:val="0"/>
                <w:numId w:val="2"/>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包含但不限于单部四层、单部六层、两部六层、三部六层、三部十层、六部十层。</w:t>
            </w:r>
          </w:p>
          <w:p w14:paraId="05DBCD03">
            <w:pPr>
              <w:pStyle w:val="3"/>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b/>
                <w:bCs/>
                <w:color w:val="000000"/>
                <w:kern w:val="0"/>
                <w:szCs w:val="21"/>
              </w:rPr>
              <w:t>虚拟仿真软件的授权。</w:t>
            </w:r>
            <w:r>
              <w:rPr>
                <w:rFonts w:hint="eastAsia" w:asciiTheme="minorEastAsia" w:hAnsiTheme="minorEastAsia" w:eastAsiaTheme="minorEastAsia" w:cstheme="minorEastAsia"/>
                <w:b/>
                <w:bCs/>
                <w:szCs w:val="21"/>
              </w:rPr>
              <w:t>（为避免知识产权纠纷，投标时需提供厂家相关资质证明文件及针对此项目的授权函）</w:t>
            </w:r>
          </w:p>
          <w:p w14:paraId="78426869">
            <w:pPr>
              <w:numPr>
                <w:ilvl w:val="0"/>
                <w:numId w:val="3"/>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综合实验项目：</w:t>
            </w:r>
          </w:p>
          <w:p w14:paraId="00E77D38">
            <w:pPr>
              <w:numPr>
                <w:ilvl w:val="0"/>
                <w:numId w:val="0"/>
              </w:numPr>
              <w:ind w:left="425" w:leftChars="0" w:hanging="425"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eastAsiaTheme="minorEastAsia" w:cstheme="minorEastAsia"/>
                <w:color w:val="000000"/>
                <w:kern w:val="0"/>
                <w:szCs w:val="21"/>
              </w:rPr>
              <w:t>控制器连接与组态；</w:t>
            </w:r>
          </w:p>
          <w:p w14:paraId="073333F5">
            <w:pPr>
              <w:numPr>
                <w:ilvl w:val="0"/>
                <w:numId w:val="0"/>
              </w:numPr>
              <w:ind w:left="425" w:leftChars="0" w:hanging="425" w:firstLineChars="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 w:val="21"/>
                <w:szCs w:val="21"/>
                <w:lang w:val="en-US" w:eastAsia="zh-CN" w:bidi="ar-SA"/>
              </w:rPr>
              <w:t>2</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eastAsiaTheme="minorEastAsia" w:cstheme="minorEastAsia"/>
                <w:color w:val="000000"/>
                <w:kern w:val="0"/>
                <w:szCs w:val="21"/>
              </w:rPr>
              <w:t>电梯启停控制；</w:t>
            </w:r>
          </w:p>
          <w:p w14:paraId="5DC46C3C">
            <w:pPr>
              <w:numPr>
                <w:ilvl w:val="0"/>
                <w:numId w:val="0"/>
              </w:numPr>
              <w:ind w:left="425" w:leftChars="0" w:hanging="425" w:firstLineChars="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 w:val="21"/>
                <w:szCs w:val="21"/>
                <w:lang w:val="en-US" w:eastAsia="zh-CN" w:bidi="ar-SA"/>
              </w:rPr>
              <w:t>3</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eastAsiaTheme="minorEastAsia" w:cstheme="minorEastAsia"/>
                <w:color w:val="000000"/>
                <w:kern w:val="0"/>
                <w:szCs w:val="21"/>
              </w:rPr>
              <w:t>电梯初始化及程序实施；</w:t>
            </w:r>
          </w:p>
          <w:p w14:paraId="6716DEDD">
            <w:pPr>
              <w:numPr>
                <w:ilvl w:val="0"/>
                <w:numId w:val="0"/>
              </w:numPr>
              <w:ind w:left="425" w:leftChars="0" w:hanging="425" w:firstLineChars="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 w:val="21"/>
                <w:szCs w:val="21"/>
                <w:lang w:val="en-US" w:eastAsia="zh-CN" w:bidi="ar-SA"/>
              </w:rPr>
              <w:t>4</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eastAsiaTheme="minorEastAsia" w:cstheme="minorEastAsia"/>
                <w:color w:val="000000"/>
                <w:kern w:val="0"/>
                <w:szCs w:val="21"/>
              </w:rPr>
              <w:t>电梯楼层信号控制；</w:t>
            </w:r>
          </w:p>
          <w:p w14:paraId="290F2234">
            <w:pPr>
              <w:numPr>
                <w:ilvl w:val="0"/>
                <w:numId w:val="0"/>
              </w:numPr>
              <w:ind w:left="425" w:leftChars="0" w:hanging="425" w:firstLineChars="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 w:val="21"/>
                <w:szCs w:val="21"/>
                <w:lang w:val="en-US" w:eastAsia="zh-CN" w:bidi="ar-SA"/>
              </w:rPr>
              <w:t>5</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eastAsiaTheme="minorEastAsia" w:cstheme="minorEastAsia"/>
                <w:color w:val="000000"/>
                <w:kern w:val="0"/>
                <w:szCs w:val="21"/>
              </w:rPr>
              <w:t>电梯开关门控制；</w:t>
            </w:r>
          </w:p>
          <w:p w14:paraId="49509542">
            <w:pPr>
              <w:numPr>
                <w:ilvl w:val="0"/>
                <w:numId w:val="0"/>
              </w:numPr>
              <w:ind w:left="425" w:leftChars="0" w:hanging="425" w:firstLineChars="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 w:val="21"/>
                <w:szCs w:val="21"/>
                <w:lang w:val="en-US" w:eastAsia="zh-CN" w:bidi="ar-SA"/>
              </w:rPr>
              <w:t>6</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eastAsiaTheme="minorEastAsia" w:cstheme="minorEastAsia"/>
                <w:color w:val="000000"/>
                <w:kern w:val="0"/>
                <w:szCs w:val="21"/>
              </w:rPr>
              <w:t>电梯开关门故障保护；</w:t>
            </w:r>
          </w:p>
          <w:p w14:paraId="6161A77E">
            <w:pPr>
              <w:numPr>
                <w:ilvl w:val="0"/>
                <w:numId w:val="0"/>
              </w:numPr>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7）</w:t>
            </w:r>
            <w:r>
              <w:rPr>
                <w:rFonts w:hint="eastAsia" w:asciiTheme="minorEastAsia" w:hAnsiTheme="minorEastAsia" w:eastAsiaTheme="minorEastAsia" w:cstheme="minorEastAsia"/>
                <w:color w:val="000000"/>
                <w:kern w:val="0"/>
                <w:szCs w:val="21"/>
              </w:rPr>
              <w:t>电梯外呼内选信号的登记与消除。</w:t>
            </w:r>
          </w:p>
        </w:tc>
        <w:tc>
          <w:tcPr>
            <w:tcW w:w="816" w:type="dxa"/>
            <w:vAlign w:val="center"/>
          </w:tcPr>
          <w:p w14:paraId="654B4E94">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spacing w:val="-2"/>
                <w:szCs w:val="21"/>
              </w:rPr>
            </w:pPr>
            <w:r>
              <w:rPr>
                <w:rFonts w:hint="eastAsia" w:ascii="宋体" w:hAnsi="宋体" w:eastAsia="宋体" w:cs="宋体"/>
                <w:spacing w:val="-2"/>
                <w:szCs w:val="21"/>
              </w:rPr>
              <w:t>是</w:t>
            </w:r>
          </w:p>
        </w:tc>
      </w:tr>
    </w:tbl>
    <w:p w14:paraId="78DF3760">
      <w:pPr>
        <w:keepNext w:val="0"/>
        <w:keepLines w:val="0"/>
        <w:pageBreakBefore w:val="0"/>
        <w:widowControl/>
        <w:kinsoku/>
        <w:wordWrap/>
        <w:overflowPunct/>
        <w:topLinePunct w:val="0"/>
        <w:bidi w:val="0"/>
        <w:spacing w:line="560" w:lineRule="exact"/>
        <w:jc w:val="left"/>
        <w:rPr>
          <w:rFonts w:hint="eastAsia" w:ascii="黑体" w:hAnsi="黑体" w:eastAsia="黑体" w:cs="黑体"/>
          <w:sz w:val="32"/>
          <w:szCs w:val="32"/>
        </w:rPr>
      </w:pPr>
      <w:r>
        <w:rPr>
          <w:rFonts w:hint="eastAsia" w:ascii="黑体" w:hAnsi="黑体" w:eastAsia="黑体" w:cs="黑体"/>
          <w:sz w:val="32"/>
          <w:szCs w:val="32"/>
        </w:rPr>
        <w:t>四、开出实验项目</w:t>
      </w:r>
    </w:p>
    <w:tbl>
      <w:tblPr>
        <w:tblStyle w:val="8"/>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473"/>
        <w:gridCol w:w="1232"/>
      </w:tblGrid>
      <w:tr w14:paraId="4D7B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5FB3007">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6473" w:type="dxa"/>
            <w:vAlign w:val="center"/>
          </w:tcPr>
          <w:p w14:paraId="2852AF5E">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实验实训项目名称</w:t>
            </w:r>
          </w:p>
        </w:tc>
        <w:tc>
          <w:tcPr>
            <w:tcW w:w="1232" w:type="dxa"/>
            <w:vAlign w:val="center"/>
          </w:tcPr>
          <w:p w14:paraId="3987524F">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类别</w:t>
            </w:r>
          </w:p>
        </w:tc>
      </w:tr>
      <w:tr w14:paraId="336E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636429DA">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6473" w:type="dxa"/>
            <w:shd w:val="clear" w:color="auto" w:fill="auto"/>
            <w:vAlign w:val="center"/>
          </w:tcPr>
          <w:p w14:paraId="0A6D01D6">
            <w:pPr>
              <w:keepNext w:val="0"/>
              <w:keepLines w:val="0"/>
              <w:pageBreakBefore w:val="0"/>
              <w:kinsoku/>
              <w:wordWrap/>
              <w:overflowPunct/>
              <w:topLinePunct w:val="0"/>
              <w:bidi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一、多轴综合运动控制实训装置</w:t>
            </w:r>
          </w:p>
          <w:p w14:paraId="4BEF9808">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1.</w:t>
            </w:r>
            <w:r>
              <w:rPr>
                <w:rFonts w:hint="eastAsia" w:asciiTheme="minorEastAsia" w:hAnsiTheme="minorEastAsia" w:eastAsiaTheme="minorEastAsia" w:cstheme="minorEastAsia"/>
              </w:rPr>
              <w:t>多轴同步控制实训</w:t>
            </w:r>
          </w:p>
          <w:p w14:paraId="1ECFBECD">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2.</w:t>
            </w:r>
            <w:r>
              <w:rPr>
                <w:rFonts w:hint="eastAsia" w:asciiTheme="minorEastAsia" w:hAnsiTheme="minorEastAsia" w:eastAsiaTheme="minorEastAsia" w:cstheme="minorEastAsia"/>
              </w:rPr>
              <w:t>高速定位控制实训</w:t>
            </w:r>
          </w:p>
          <w:p w14:paraId="653CC23D">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3.</w:t>
            </w:r>
            <w:r>
              <w:rPr>
                <w:rFonts w:hint="eastAsia" w:asciiTheme="minorEastAsia" w:hAnsiTheme="minorEastAsia" w:eastAsiaTheme="minorEastAsia" w:cstheme="minorEastAsia"/>
              </w:rPr>
              <w:t>轨迹插补控制实训</w:t>
            </w:r>
          </w:p>
          <w:p w14:paraId="26008C4A">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4.</w:t>
            </w:r>
            <w:r>
              <w:rPr>
                <w:rFonts w:hint="eastAsia" w:asciiTheme="minorEastAsia" w:hAnsiTheme="minorEastAsia" w:eastAsiaTheme="minorEastAsia" w:cstheme="minorEastAsia"/>
              </w:rPr>
              <w:t>飞剪控制实训</w:t>
            </w:r>
          </w:p>
          <w:p w14:paraId="77C89B94">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5.</w:t>
            </w:r>
            <w:r>
              <w:rPr>
                <w:rFonts w:hint="eastAsia" w:asciiTheme="minorEastAsia" w:hAnsiTheme="minorEastAsia" w:eastAsiaTheme="minorEastAsia" w:cstheme="minorEastAsia"/>
              </w:rPr>
              <w:t>追剪控制实训</w:t>
            </w:r>
          </w:p>
          <w:p w14:paraId="7989901D">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6.</w:t>
            </w:r>
            <w:r>
              <w:rPr>
                <w:rFonts w:hint="eastAsia" w:asciiTheme="minorEastAsia" w:hAnsiTheme="minorEastAsia" w:eastAsiaTheme="minorEastAsia" w:cstheme="minorEastAsia"/>
              </w:rPr>
              <w:t>电子凸轮控制实训</w:t>
            </w:r>
          </w:p>
          <w:p w14:paraId="534A2411">
            <w:pPr>
              <w:keepNext w:val="0"/>
              <w:keepLines w:val="0"/>
              <w:pageBreakBefore w:val="0"/>
              <w:numPr>
                <w:ilvl w:val="0"/>
                <w:numId w:val="1"/>
              </w:numPr>
              <w:kinsoku/>
              <w:wordWrap/>
              <w:overflowPunct/>
              <w:topLinePunct w:val="0"/>
              <w:bidi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直线一级倒立摆系统</w:t>
            </w:r>
          </w:p>
          <w:p w14:paraId="70E98029">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rPr>
              <w:t>系统建模和稳定性分析；</w:t>
            </w:r>
          </w:p>
          <w:p w14:paraId="7A49D337">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rPr>
              <w:t>根轨迹校正；</w:t>
            </w:r>
          </w:p>
          <w:p w14:paraId="0AA81E59">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Cs w:val="21"/>
              </w:rPr>
              <w:t>PID法校正；</w:t>
            </w:r>
          </w:p>
          <w:p w14:paraId="2EABE186">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eastAsiaTheme="minorEastAsia" w:cstheme="minorEastAsia"/>
                <w:szCs w:val="21"/>
              </w:rPr>
              <w:t>频域法校正；</w:t>
            </w:r>
          </w:p>
          <w:p w14:paraId="77F67296">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5.</w:t>
            </w:r>
            <w:r>
              <w:rPr>
                <w:rFonts w:hint="eastAsia" w:asciiTheme="minorEastAsia" w:hAnsiTheme="minorEastAsia" w:eastAsiaTheme="minorEastAsia" w:cstheme="minorEastAsia"/>
                <w:szCs w:val="21"/>
              </w:rPr>
              <w:t>根轨迹符合法校正；</w:t>
            </w:r>
          </w:p>
          <w:p w14:paraId="42746CF9">
            <w:pPr>
              <w:keepNext w:val="0"/>
              <w:keepLines w:val="0"/>
              <w:pageBreakBefore w:val="0"/>
              <w:numPr>
                <w:ilvl w:val="0"/>
                <w:numId w:val="1"/>
              </w:numPr>
              <w:kinsoku/>
              <w:wordWrap/>
              <w:overflowPunct/>
              <w:topLinePunct w:val="0"/>
              <w:bidi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电梯仿真实训系统</w:t>
            </w:r>
          </w:p>
          <w:p w14:paraId="1BF06CE5">
            <w:pPr>
              <w:keepNext w:val="0"/>
              <w:keepLines w:val="0"/>
              <w:pageBreakBefore w:val="0"/>
              <w:numPr>
                <w:ilvl w:val="0"/>
                <w:numId w:val="0"/>
              </w:numPr>
              <w:kinsoku/>
              <w:wordWrap/>
              <w:overflowPunct/>
              <w:topLinePunct w:val="0"/>
              <w:bidi w:val="0"/>
              <w:spacing w:line="240" w:lineRule="auto"/>
              <w:ind w:left="425" w:leftChars="0" w:hanging="425"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kern w:val="0"/>
                <w:szCs w:val="21"/>
              </w:rPr>
              <w:t>控制器连接与组态；</w:t>
            </w:r>
          </w:p>
          <w:p w14:paraId="222D97B3">
            <w:pPr>
              <w:keepNext w:val="0"/>
              <w:keepLines w:val="0"/>
              <w:pageBreakBefore w:val="0"/>
              <w:numPr>
                <w:ilvl w:val="0"/>
                <w:numId w:val="0"/>
              </w:numPr>
              <w:kinsoku/>
              <w:wordWrap/>
              <w:overflowPunct/>
              <w:topLinePunct w:val="0"/>
              <w:bidi w:val="0"/>
              <w:spacing w:line="240" w:lineRule="auto"/>
              <w:ind w:left="425" w:leftChars="0" w:hanging="425" w:firstLineChars="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bidi="ar-SA"/>
              </w:rPr>
              <w:t>2.</w:t>
            </w:r>
            <w:r>
              <w:rPr>
                <w:rFonts w:hint="eastAsia" w:asciiTheme="minorEastAsia" w:hAnsiTheme="minorEastAsia" w:eastAsiaTheme="minorEastAsia" w:cstheme="minorEastAsia"/>
                <w:kern w:val="0"/>
                <w:szCs w:val="21"/>
              </w:rPr>
              <w:t>电梯启停控制；</w:t>
            </w:r>
          </w:p>
          <w:p w14:paraId="137FADCA">
            <w:pPr>
              <w:keepNext w:val="0"/>
              <w:keepLines w:val="0"/>
              <w:pageBreakBefore w:val="0"/>
              <w:numPr>
                <w:ilvl w:val="0"/>
                <w:numId w:val="0"/>
              </w:numPr>
              <w:kinsoku/>
              <w:wordWrap/>
              <w:overflowPunct/>
              <w:topLinePunct w:val="0"/>
              <w:bidi w:val="0"/>
              <w:spacing w:line="240" w:lineRule="auto"/>
              <w:ind w:left="425" w:leftChars="0" w:hanging="425" w:firstLineChars="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bidi="ar-SA"/>
              </w:rPr>
              <w:t>3.</w:t>
            </w:r>
            <w:r>
              <w:rPr>
                <w:rFonts w:hint="eastAsia" w:asciiTheme="minorEastAsia" w:hAnsiTheme="minorEastAsia" w:eastAsiaTheme="minorEastAsia" w:cstheme="minorEastAsia"/>
                <w:kern w:val="0"/>
                <w:szCs w:val="21"/>
              </w:rPr>
              <w:t>电梯初始化及程序实施；</w:t>
            </w:r>
          </w:p>
        </w:tc>
        <w:tc>
          <w:tcPr>
            <w:tcW w:w="1232" w:type="dxa"/>
            <w:vAlign w:val="center"/>
          </w:tcPr>
          <w:p w14:paraId="57561DA9">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基础性</w:t>
            </w:r>
          </w:p>
        </w:tc>
      </w:tr>
      <w:tr w14:paraId="5B9E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2D3E6BF">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6473" w:type="dxa"/>
            <w:shd w:val="clear" w:color="auto" w:fill="auto"/>
            <w:vAlign w:val="center"/>
          </w:tcPr>
          <w:p w14:paraId="6A76B2FB">
            <w:pPr>
              <w:keepNext w:val="0"/>
              <w:keepLines w:val="0"/>
              <w:pageBreakBefore w:val="0"/>
              <w:kinsoku/>
              <w:wordWrap/>
              <w:overflowPunct/>
              <w:topLinePunct w:val="0"/>
              <w:bidi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一、多轴综合运动控制实训装置</w:t>
            </w:r>
          </w:p>
          <w:p w14:paraId="685B3D43">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1.</w:t>
            </w:r>
            <w:r>
              <w:rPr>
                <w:rFonts w:hint="eastAsia" w:asciiTheme="minorEastAsia" w:hAnsiTheme="minorEastAsia" w:eastAsiaTheme="minorEastAsia" w:cstheme="minorEastAsia"/>
              </w:rPr>
              <w:t>同步跟随运行控制实训</w:t>
            </w:r>
          </w:p>
          <w:p w14:paraId="063CC2AB">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2.</w:t>
            </w:r>
            <w:r>
              <w:rPr>
                <w:rFonts w:hint="eastAsia" w:asciiTheme="minorEastAsia" w:hAnsiTheme="minorEastAsia" w:eastAsiaTheme="minorEastAsia" w:cstheme="minorEastAsia"/>
              </w:rPr>
              <w:t>单轴的配置与管理实训</w:t>
            </w:r>
          </w:p>
          <w:p w14:paraId="1765AADC">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3.</w:t>
            </w:r>
            <w:r>
              <w:rPr>
                <w:rFonts w:hint="eastAsia" w:asciiTheme="minorEastAsia" w:hAnsiTheme="minorEastAsia" w:eastAsiaTheme="minorEastAsia" w:cstheme="minorEastAsia"/>
              </w:rPr>
              <w:t>实轴的添加与配置实训</w:t>
            </w:r>
          </w:p>
          <w:p w14:paraId="69C6BBBE">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4.</w:t>
            </w:r>
            <w:r>
              <w:rPr>
                <w:rFonts w:hint="eastAsia" w:asciiTheme="minorEastAsia" w:hAnsiTheme="minorEastAsia" w:eastAsiaTheme="minorEastAsia" w:cstheme="minorEastAsia"/>
              </w:rPr>
              <w:t>虚轴的添加与配置实训</w:t>
            </w:r>
          </w:p>
          <w:p w14:paraId="08F398CA">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szCs w:val="21"/>
              </w:rPr>
              <w:t>直线一级倒立摆系统</w:t>
            </w:r>
          </w:p>
          <w:p w14:paraId="030F0C24">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rPr>
              <w:t>PID法复合校正；</w:t>
            </w:r>
          </w:p>
          <w:p w14:paraId="4B38853A">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rPr>
              <w:t>频域法复合校正；</w:t>
            </w:r>
          </w:p>
          <w:p w14:paraId="7E2E32B1">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Cs w:val="21"/>
              </w:rPr>
              <w:t>复合校正的分析及改进；</w:t>
            </w:r>
          </w:p>
          <w:p w14:paraId="3F087C7C">
            <w:pPr>
              <w:keepNext w:val="0"/>
              <w:keepLines w:val="0"/>
              <w:pageBreakBefore w:val="0"/>
              <w:kinsoku/>
              <w:wordWrap/>
              <w:overflowPunct/>
              <w:topLinePunct w:val="0"/>
              <w:bidi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kern w:val="0"/>
                <w:szCs w:val="21"/>
              </w:rPr>
              <w:t>电梯仿真实训系统</w:t>
            </w:r>
          </w:p>
          <w:p w14:paraId="2652B05E">
            <w:pPr>
              <w:keepNext w:val="0"/>
              <w:keepLines w:val="0"/>
              <w:pageBreakBefore w:val="0"/>
              <w:numPr>
                <w:ilvl w:val="0"/>
                <w:numId w:val="0"/>
              </w:numPr>
              <w:kinsoku/>
              <w:wordWrap/>
              <w:overflowPunct/>
              <w:topLinePunct w:val="0"/>
              <w:bidi w:val="0"/>
              <w:spacing w:line="240" w:lineRule="auto"/>
              <w:ind w:left="425" w:leftChars="0" w:hanging="425" w:firstLineChars="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bidi="ar-SA"/>
              </w:rPr>
              <w:t>1.</w:t>
            </w:r>
            <w:r>
              <w:rPr>
                <w:rFonts w:hint="eastAsia" w:asciiTheme="minorEastAsia" w:hAnsiTheme="minorEastAsia" w:eastAsiaTheme="minorEastAsia" w:cstheme="minorEastAsia"/>
                <w:kern w:val="0"/>
                <w:szCs w:val="21"/>
              </w:rPr>
              <w:t>电梯楼层信号控制；</w:t>
            </w:r>
          </w:p>
          <w:p w14:paraId="4B29C2D1">
            <w:pPr>
              <w:keepNext w:val="0"/>
              <w:keepLines w:val="0"/>
              <w:pageBreakBefore w:val="0"/>
              <w:numPr>
                <w:ilvl w:val="0"/>
                <w:numId w:val="0"/>
              </w:numPr>
              <w:kinsoku/>
              <w:wordWrap/>
              <w:overflowPunct/>
              <w:topLinePunct w:val="0"/>
              <w:bidi w:val="0"/>
              <w:spacing w:line="240" w:lineRule="auto"/>
              <w:ind w:left="425" w:leftChars="0" w:hanging="425" w:firstLineChars="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bidi="ar-SA"/>
              </w:rPr>
              <w:t>2.</w:t>
            </w:r>
            <w:r>
              <w:rPr>
                <w:rFonts w:hint="eastAsia" w:asciiTheme="minorEastAsia" w:hAnsiTheme="minorEastAsia" w:eastAsiaTheme="minorEastAsia" w:cstheme="minorEastAsia"/>
                <w:kern w:val="0"/>
                <w:szCs w:val="21"/>
              </w:rPr>
              <w:t>电梯开关门控制；</w:t>
            </w:r>
          </w:p>
        </w:tc>
        <w:tc>
          <w:tcPr>
            <w:tcW w:w="1232" w:type="dxa"/>
            <w:vAlign w:val="center"/>
          </w:tcPr>
          <w:p w14:paraId="4C882EDE">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设计性</w:t>
            </w:r>
          </w:p>
        </w:tc>
      </w:tr>
      <w:tr w14:paraId="15AA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F6D5C6B">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3</w:t>
            </w:r>
          </w:p>
        </w:tc>
        <w:tc>
          <w:tcPr>
            <w:tcW w:w="6473" w:type="dxa"/>
            <w:shd w:val="clear" w:color="auto" w:fill="auto"/>
            <w:vAlign w:val="center"/>
          </w:tcPr>
          <w:p w14:paraId="2DD56AE5">
            <w:pPr>
              <w:keepNext w:val="0"/>
              <w:keepLines w:val="0"/>
              <w:pageBreakBefore w:val="0"/>
              <w:kinsoku/>
              <w:wordWrap/>
              <w:overflowPunct/>
              <w:topLinePunct w:val="0"/>
              <w:bidi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一、多轴综合运动控制实训装置</w:t>
            </w:r>
          </w:p>
          <w:p w14:paraId="51B47403">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rPr>
              <w:t>实轴与虚轴的组合管理实训</w:t>
            </w:r>
          </w:p>
          <w:p w14:paraId="2730B26A">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rPr>
              <w:t>凸轮表配置与修改实训</w:t>
            </w:r>
          </w:p>
          <w:p w14:paraId="65098254">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Cs w:val="21"/>
              </w:rPr>
              <w:t>步进电机运动控制实训</w:t>
            </w:r>
          </w:p>
          <w:p w14:paraId="1312D4A2">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szCs w:val="21"/>
              </w:rPr>
              <w:t>直线一级倒立摆系统</w:t>
            </w:r>
          </w:p>
          <w:p w14:paraId="2C4536C1">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rPr>
              <w:t>状态反馈控制；</w:t>
            </w:r>
          </w:p>
          <w:p w14:paraId="6DFA2786">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rPr>
              <w:t>LQR控制；</w:t>
            </w:r>
          </w:p>
          <w:p w14:paraId="5A6E2E20">
            <w:pPr>
              <w:keepNext w:val="0"/>
              <w:keepLines w:val="0"/>
              <w:pageBreakBefore w:val="0"/>
              <w:kinsoku/>
              <w:wordWrap/>
              <w:overflowPunct/>
              <w:topLinePunct w:val="0"/>
              <w:bidi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kern w:val="0"/>
                <w:szCs w:val="21"/>
              </w:rPr>
              <w:t>电梯仿真实训系统</w:t>
            </w:r>
          </w:p>
          <w:p w14:paraId="6DB24078">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bidi="ar-SA"/>
              </w:rPr>
              <w:t>1.</w:t>
            </w:r>
            <w:r>
              <w:rPr>
                <w:rFonts w:hint="eastAsia" w:asciiTheme="minorEastAsia" w:hAnsiTheme="minorEastAsia" w:eastAsiaTheme="minorEastAsia" w:cstheme="minorEastAsia"/>
                <w:szCs w:val="21"/>
              </w:rPr>
              <w:t>电梯开关门故障保护；</w:t>
            </w:r>
          </w:p>
        </w:tc>
        <w:tc>
          <w:tcPr>
            <w:tcW w:w="1232" w:type="dxa"/>
            <w:vAlign w:val="center"/>
          </w:tcPr>
          <w:p w14:paraId="3D0900DF">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创新性</w:t>
            </w:r>
          </w:p>
        </w:tc>
      </w:tr>
      <w:tr w14:paraId="060D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495C216">
            <w:pPr>
              <w:pStyle w:val="4"/>
              <w:keepNext w:val="0"/>
              <w:keepLines w:val="0"/>
              <w:pageBreakBefore w:val="0"/>
              <w:kinsoku/>
              <w:wordWrap/>
              <w:overflowPunct/>
              <w:topLinePunct w:val="0"/>
              <w:bidi w:val="0"/>
              <w:spacing w:line="240" w:lineRule="auto"/>
              <w:jc w:val="center"/>
              <w:rPr>
                <w:rFonts w:hint="eastAsia" w:eastAsia="宋体" w:cs="宋体"/>
                <w:sz w:val="24"/>
                <w:szCs w:val="24"/>
                <w:lang w:val="en-US"/>
              </w:rPr>
            </w:pPr>
            <w:r>
              <w:rPr>
                <w:rFonts w:hint="eastAsia" w:eastAsia="宋体" w:cs="宋体"/>
                <w:sz w:val="24"/>
                <w:szCs w:val="24"/>
                <w:lang w:val="en-US"/>
              </w:rPr>
              <w:t>4</w:t>
            </w:r>
          </w:p>
        </w:tc>
        <w:tc>
          <w:tcPr>
            <w:tcW w:w="6473" w:type="dxa"/>
            <w:vAlign w:val="center"/>
          </w:tcPr>
          <w:p w14:paraId="37E6F5A7">
            <w:pPr>
              <w:keepNext w:val="0"/>
              <w:keepLines w:val="0"/>
              <w:pageBreakBefore w:val="0"/>
              <w:kinsoku/>
              <w:wordWrap/>
              <w:overflowPunct/>
              <w:topLinePunct w:val="0"/>
              <w:bidi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一、多轴综合运动控制实训装置</w:t>
            </w:r>
          </w:p>
          <w:p w14:paraId="0054787C">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4"/>
                <w:lang w:val="en-US" w:eastAsia="zh-CN" w:bidi="ar-SA"/>
              </w:rPr>
              <w:t>1.</w:t>
            </w:r>
            <w:r>
              <w:rPr>
                <w:rFonts w:hint="eastAsia" w:asciiTheme="minorEastAsia" w:hAnsiTheme="minorEastAsia" w:eastAsiaTheme="minorEastAsia" w:cstheme="minorEastAsia"/>
              </w:rPr>
              <w:t xml:space="preserve">总线型伺服系统调试与优化实训 </w:t>
            </w:r>
          </w:p>
          <w:p w14:paraId="79090FB0">
            <w:pPr>
              <w:keepNext w:val="0"/>
              <w:keepLines w:val="0"/>
              <w:pageBreakBefore w:val="0"/>
              <w:numPr>
                <w:ilvl w:val="0"/>
                <w:numId w:val="0"/>
              </w:numPr>
              <w:kinsoku/>
              <w:wordWrap/>
              <w:overflowPunct/>
              <w:topLinePunct w:val="0"/>
              <w:bidi w:val="0"/>
              <w:spacing w:line="240" w:lineRule="auto"/>
              <w:ind w:left="425" w:leftChars="0" w:hanging="425"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bidi="ar-SA"/>
              </w:rPr>
              <w:t>2.</w:t>
            </w:r>
            <w:r>
              <w:rPr>
                <w:rFonts w:hint="eastAsia" w:asciiTheme="minorEastAsia" w:hAnsiTheme="minorEastAsia" w:eastAsiaTheme="minorEastAsia" w:cstheme="minorEastAsia"/>
              </w:rPr>
              <w:t>产线设计建模仿真实训</w:t>
            </w:r>
          </w:p>
          <w:p w14:paraId="0E3ECC7A">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szCs w:val="21"/>
              </w:rPr>
              <w:t>直线一级倒立摆系统</w:t>
            </w:r>
          </w:p>
          <w:p w14:paraId="2170B99A">
            <w:pPr>
              <w:keepNext w:val="0"/>
              <w:keepLines w:val="0"/>
              <w:pageBreakBefore w:val="0"/>
              <w:numPr>
                <w:ilvl w:val="0"/>
                <w:numId w:val="0"/>
              </w:numPr>
              <w:kinsoku/>
              <w:wordWrap/>
              <w:overflowPunct/>
              <w:topLinePunct w:val="0"/>
              <w:bidi w:val="0"/>
              <w:spacing w:line="240" w:lineRule="auto"/>
              <w:ind w:left="425" w:leftChars="0" w:hanging="425" w:firstLineChars="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bidi="ar-SA"/>
              </w:rPr>
              <w:t>1.</w:t>
            </w:r>
            <w:r>
              <w:rPr>
                <w:rFonts w:hint="eastAsia" w:asciiTheme="minorEastAsia" w:hAnsiTheme="minorEastAsia" w:eastAsiaTheme="minorEastAsia" w:cstheme="minorEastAsia"/>
                <w:szCs w:val="21"/>
              </w:rPr>
              <w:t>神经网络实验。</w:t>
            </w:r>
          </w:p>
          <w:p w14:paraId="6F80D8D7">
            <w:pPr>
              <w:keepNext w:val="0"/>
              <w:keepLines w:val="0"/>
              <w:pageBreakBefore w:val="0"/>
              <w:kinsoku/>
              <w:wordWrap/>
              <w:overflowPunct/>
              <w:topLinePunct w:val="0"/>
              <w:bidi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kern w:val="0"/>
                <w:szCs w:val="21"/>
              </w:rPr>
              <w:t>电梯仿真实训系统</w:t>
            </w:r>
          </w:p>
          <w:p w14:paraId="11488FDC">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lang w:val="en-US" w:eastAsia="zh-CN"/>
              </w:rPr>
              <w:t>.</w:t>
            </w:r>
            <w:r>
              <w:rPr>
                <w:rFonts w:hint="eastAsia" w:asciiTheme="minorEastAsia" w:hAnsiTheme="minorEastAsia" w:eastAsiaTheme="minorEastAsia" w:cstheme="minorEastAsia"/>
                <w:color w:val="000000"/>
                <w:kern w:val="0"/>
                <w:szCs w:val="21"/>
              </w:rPr>
              <w:t>电梯外呼内选信号的登记与消除。</w:t>
            </w:r>
          </w:p>
        </w:tc>
        <w:tc>
          <w:tcPr>
            <w:tcW w:w="1232" w:type="dxa"/>
            <w:vAlign w:val="center"/>
          </w:tcPr>
          <w:p w14:paraId="737D181A">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综合性</w:t>
            </w:r>
          </w:p>
        </w:tc>
      </w:tr>
    </w:tbl>
    <w:p w14:paraId="66FEAF40">
      <w:pPr>
        <w:keepNext w:val="0"/>
        <w:keepLines w:val="0"/>
        <w:pageBreakBefore w:val="0"/>
        <w:kinsoku/>
        <w:wordWrap/>
        <w:overflowPunct/>
        <w:topLinePunct w:val="0"/>
        <w:bidi w:val="0"/>
        <w:spacing w:line="560" w:lineRule="exact"/>
        <w:rPr>
          <w:rFonts w:hint="eastAsia" w:ascii="黑体" w:hAnsi="黑体" w:eastAsia="黑体" w:cs="黑体"/>
          <w:sz w:val="32"/>
          <w:szCs w:val="32"/>
        </w:rPr>
      </w:pPr>
    </w:p>
    <w:p w14:paraId="70328605">
      <w:pPr>
        <w:keepNext w:val="0"/>
        <w:keepLines w:val="0"/>
        <w:pageBreakBefore w:val="0"/>
        <w:kinsoku/>
        <w:wordWrap/>
        <w:overflowPunct/>
        <w:topLinePunct w:val="0"/>
        <w:bidi w:val="0"/>
        <w:spacing w:line="560" w:lineRule="exact"/>
        <w:rPr>
          <w:rFonts w:hint="eastAsia" w:ascii="黑体" w:hAnsi="黑体" w:eastAsia="黑体" w:cs="黑体"/>
          <w:sz w:val="32"/>
          <w:szCs w:val="32"/>
        </w:rPr>
      </w:pPr>
      <w:r>
        <w:rPr>
          <w:rFonts w:hint="eastAsia" w:ascii="黑体" w:hAnsi="黑体" w:eastAsia="黑体" w:cs="黑体"/>
          <w:sz w:val="32"/>
          <w:szCs w:val="32"/>
        </w:rPr>
        <w:t>五、主要学科竞赛</w:t>
      </w:r>
    </w:p>
    <w:tbl>
      <w:tblPr>
        <w:tblStyle w:val="8"/>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4230"/>
        <w:gridCol w:w="2036"/>
      </w:tblGrid>
      <w:tr w14:paraId="0DAA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89" w:type="dxa"/>
            <w:vAlign w:val="center"/>
          </w:tcPr>
          <w:p w14:paraId="51D559D8">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主办单位</w:t>
            </w:r>
          </w:p>
        </w:tc>
        <w:tc>
          <w:tcPr>
            <w:tcW w:w="4230" w:type="dxa"/>
            <w:vAlign w:val="center"/>
          </w:tcPr>
          <w:p w14:paraId="1D69FCD9">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竞赛名称</w:t>
            </w:r>
          </w:p>
        </w:tc>
        <w:tc>
          <w:tcPr>
            <w:tcW w:w="2036" w:type="dxa"/>
            <w:vAlign w:val="center"/>
          </w:tcPr>
          <w:p w14:paraId="4CE256FF">
            <w:pPr>
              <w:keepNext w:val="0"/>
              <w:keepLines w:val="0"/>
              <w:pageBreakBefore w:val="0"/>
              <w:kinsoku/>
              <w:wordWrap/>
              <w:overflowPunct/>
              <w:topLinePunct w:val="0"/>
              <w:bidi w:val="0"/>
              <w:spacing w:line="240" w:lineRule="auto"/>
              <w:jc w:val="center"/>
              <w:rPr>
                <w:rFonts w:hint="eastAsia" w:ascii="宋体" w:hAnsi="宋体" w:eastAsia="宋体" w:cs="宋体"/>
                <w:b/>
                <w:bCs/>
                <w:sz w:val="24"/>
              </w:rPr>
            </w:pPr>
            <w:r>
              <w:rPr>
                <w:rFonts w:hint="eastAsia" w:ascii="宋体" w:hAnsi="宋体" w:eastAsia="宋体" w:cs="宋体"/>
                <w:b/>
                <w:bCs/>
                <w:sz w:val="24"/>
              </w:rPr>
              <w:t>等级</w:t>
            </w:r>
          </w:p>
        </w:tc>
      </w:tr>
      <w:tr w14:paraId="6067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89" w:type="dxa"/>
            <w:vAlign w:val="center"/>
          </w:tcPr>
          <w:p w14:paraId="431FFAE2">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中国仿真学会</w:t>
            </w:r>
          </w:p>
        </w:tc>
        <w:tc>
          <w:tcPr>
            <w:tcW w:w="4230" w:type="dxa"/>
            <w:vAlign w:val="center"/>
          </w:tcPr>
          <w:p w14:paraId="3681AD41">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“西门子杯”中国智能制造挑战赛</w:t>
            </w:r>
          </w:p>
        </w:tc>
        <w:tc>
          <w:tcPr>
            <w:tcW w:w="2036" w:type="dxa"/>
            <w:vAlign w:val="center"/>
          </w:tcPr>
          <w:p w14:paraId="1D8398BF">
            <w:pPr>
              <w:keepNext w:val="0"/>
              <w:keepLines w:val="0"/>
              <w:pageBreakBefore w:val="0"/>
              <w:kinsoku/>
              <w:wordWrap/>
              <w:overflowPunct/>
              <w:topLinePunct w:val="0"/>
              <w:bidi w:val="0"/>
              <w:spacing w:line="240" w:lineRule="auto"/>
              <w:jc w:val="center"/>
              <w:rPr>
                <w:rFonts w:hint="eastAsia" w:ascii="宋体" w:hAnsi="宋体" w:eastAsia="宋体" w:cs="宋体"/>
                <w:sz w:val="24"/>
              </w:rPr>
            </w:pPr>
            <w:r>
              <w:rPr>
                <w:rFonts w:hint="eastAsia" w:ascii="宋体" w:hAnsi="宋体" w:eastAsia="宋体" w:cs="宋体"/>
                <w:sz w:val="24"/>
              </w:rPr>
              <w:t>A-</w:t>
            </w:r>
          </w:p>
        </w:tc>
      </w:tr>
    </w:tbl>
    <w:p w14:paraId="26C2A86F">
      <w:pPr>
        <w:pStyle w:val="4"/>
        <w:keepNext w:val="0"/>
        <w:keepLines w:val="0"/>
        <w:pageBreakBefore w:val="0"/>
        <w:kinsoku/>
        <w:wordWrap/>
        <w:overflowPunct/>
        <w:topLinePunct w:val="0"/>
        <w:bidi w:val="0"/>
        <w:spacing w:line="560" w:lineRule="exact"/>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bidi="ar-SA"/>
        </w:rPr>
        <w:t>六、厂家技术人员和师资培训服务</w:t>
      </w:r>
    </w:p>
    <w:p w14:paraId="2D2B8931">
      <w:pPr>
        <w:pStyle w:val="4"/>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1.中标人负责对招标方相关人员进行培训，培训相关要求如下：</w:t>
      </w:r>
    </w:p>
    <w:p w14:paraId="4740BE09">
      <w:pPr>
        <w:pStyle w:val="4"/>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fldChar w:fldCharType="begin"/>
      </w:r>
      <w:r>
        <w:rPr>
          <w:rFonts w:hint="eastAsia" w:ascii="仿宋_GB2312" w:hAnsi="仿宋_GB2312" w:eastAsia="仿宋_GB2312" w:cs="仿宋_GB2312"/>
          <w:sz w:val="32"/>
          <w:szCs w:val="32"/>
          <w:lang w:val="en-US"/>
        </w:rPr>
        <w:instrText xml:space="preserve"> = 1 \* GB3 </w:instrText>
      </w:r>
      <w:r>
        <w:rPr>
          <w:rFonts w:hint="eastAsia" w:ascii="仿宋_GB2312" w:hAnsi="仿宋_GB2312" w:eastAsia="仿宋_GB2312" w:cs="仿宋_GB2312"/>
          <w:sz w:val="32"/>
          <w:szCs w:val="32"/>
          <w:lang w:val="en-US"/>
        </w:rPr>
        <w:fldChar w:fldCharType="separate"/>
      </w:r>
      <w:r>
        <w:rPr>
          <w:rFonts w:hint="eastAsia" w:ascii="仿宋_GB2312" w:hAnsi="仿宋_GB2312" w:eastAsia="仿宋_GB2312" w:cs="仿宋_GB2312"/>
          <w:sz w:val="32"/>
          <w:szCs w:val="32"/>
          <w:lang w:val="en-US"/>
        </w:rPr>
        <w:t>①</w:t>
      </w:r>
      <w:r>
        <w:rPr>
          <w:rFonts w:hint="eastAsia" w:ascii="仿宋_GB2312" w:hAnsi="仿宋_GB2312" w:eastAsia="仿宋_GB2312" w:cs="仿宋_GB2312"/>
          <w:sz w:val="32"/>
          <w:szCs w:val="32"/>
          <w:lang w:val="en-US"/>
        </w:rPr>
        <w:fldChar w:fldCharType="end"/>
      </w:r>
      <w:r>
        <w:rPr>
          <w:rFonts w:hint="eastAsia" w:ascii="仿宋_GB2312" w:hAnsi="仿宋_GB2312" w:eastAsia="仿宋_GB2312" w:cs="仿宋_GB2312"/>
          <w:sz w:val="32"/>
          <w:szCs w:val="32"/>
          <w:lang w:val="en-US"/>
        </w:rPr>
        <w:t>安排不少于3次的免费培训（不同类型的设备分别提供3次培训），其中开课前必须组织培训，培训包括系统结构、设计原理、设备界面、现场安装、测试、维护、故障诊断和故障定位等方面的足够技术内容。培训内容和效果需要得到参训教师的确认。</w:t>
      </w:r>
    </w:p>
    <w:p w14:paraId="0CDB7CBD">
      <w:pPr>
        <w:pStyle w:val="4"/>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fldChar w:fldCharType="begin"/>
      </w:r>
      <w:r>
        <w:rPr>
          <w:rFonts w:hint="eastAsia" w:ascii="仿宋_GB2312" w:hAnsi="仿宋_GB2312" w:eastAsia="仿宋_GB2312" w:cs="仿宋_GB2312"/>
          <w:sz w:val="32"/>
          <w:szCs w:val="32"/>
          <w:lang w:val="en-US"/>
        </w:rPr>
        <w:instrText xml:space="preserve"> = 2 \* GB3 </w:instrText>
      </w:r>
      <w:r>
        <w:rPr>
          <w:rFonts w:hint="eastAsia" w:ascii="仿宋_GB2312" w:hAnsi="仿宋_GB2312" w:eastAsia="仿宋_GB2312" w:cs="仿宋_GB2312"/>
          <w:sz w:val="32"/>
          <w:szCs w:val="32"/>
          <w:lang w:val="en-US"/>
        </w:rPr>
        <w:fldChar w:fldCharType="separate"/>
      </w:r>
      <w:r>
        <w:rPr>
          <w:rFonts w:hint="eastAsia" w:ascii="仿宋_GB2312" w:hAnsi="仿宋_GB2312" w:eastAsia="仿宋_GB2312" w:cs="仿宋_GB2312"/>
          <w:sz w:val="32"/>
          <w:szCs w:val="32"/>
          <w:lang w:val="en-US"/>
        </w:rPr>
        <w:t>②</w:t>
      </w:r>
      <w:r>
        <w:rPr>
          <w:rFonts w:hint="eastAsia" w:ascii="仿宋_GB2312" w:hAnsi="仿宋_GB2312" w:eastAsia="仿宋_GB2312" w:cs="仿宋_GB2312"/>
          <w:sz w:val="32"/>
          <w:szCs w:val="32"/>
          <w:lang w:val="en-US"/>
        </w:rPr>
        <w:fldChar w:fldCharType="end"/>
      </w:r>
      <w:r>
        <w:rPr>
          <w:rFonts w:hint="eastAsia" w:ascii="仿宋_GB2312" w:hAnsi="仿宋_GB2312" w:eastAsia="仿宋_GB2312" w:cs="仿宋_GB2312"/>
          <w:sz w:val="32"/>
          <w:szCs w:val="32"/>
          <w:lang w:val="en-US"/>
        </w:rPr>
        <w:t>中标人应在供货设备仪器的硬件和软件或其他方面为招标方技术人员开设培训课程，并提供完整的课程资料及源代码，使他们得到能够掌握系统的运行、检查、教学工作。中标人要详细作出培训计划及内容供招标方审定。</w:t>
      </w:r>
    </w:p>
    <w:p w14:paraId="4314C340">
      <w:pPr>
        <w:pStyle w:val="4"/>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③系统在使用过程中，为满足培养目标要求，设计了新的实验内容，中标人需要配合修改样例程序。</w:t>
      </w:r>
    </w:p>
    <w:p w14:paraId="70149087">
      <w:pPr>
        <w:pStyle w:val="4"/>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fldChar w:fldCharType="begin"/>
      </w:r>
      <w:r>
        <w:rPr>
          <w:rFonts w:hint="eastAsia" w:ascii="仿宋_GB2312" w:hAnsi="仿宋_GB2312" w:eastAsia="仿宋_GB2312" w:cs="仿宋_GB2312"/>
          <w:sz w:val="32"/>
          <w:szCs w:val="32"/>
          <w:lang w:val="en-US"/>
        </w:rPr>
        <w:instrText xml:space="preserve"> = 4 \* GB3 </w:instrText>
      </w:r>
      <w:r>
        <w:rPr>
          <w:rFonts w:hint="eastAsia" w:ascii="仿宋_GB2312" w:hAnsi="仿宋_GB2312" w:eastAsia="仿宋_GB2312" w:cs="仿宋_GB2312"/>
          <w:sz w:val="32"/>
          <w:szCs w:val="32"/>
          <w:lang w:val="en-US"/>
        </w:rPr>
        <w:fldChar w:fldCharType="separate"/>
      </w:r>
      <w:r>
        <w:rPr>
          <w:rFonts w:hint="eastAsia" w:ascii="仿宋_GB2312" w:hAnsi="仿宋_GB2312" w:eastAsia="仿宋_GB2312" w:cs="仿宋_GB2312"/>
          <w:sz w:val="32"/>
          <w:szCs w:val="32"/>
          <w:lang w:val="en-US"/>
        </w:rPr>
        <w:t>④</w:t>
      </w:r>
      <w:r>
        <w:rPr>
          <w:rFonts w:hint="eastAsia" w:ascii="仿宋_GB2312" w:hAnsi="仿宋_GB2312" w:eastAsia="仿宋_GB2312" w:cs="仿宋_GB2312"/>
          <w:sz w:val="32"/>
          <w:szCs w:val="32"/>
          <w:lang w:val="en-US"/>
        </w:rPr>
        <w:fldChar w:fldCharType="end"/>
      </w:r>
      <w:r>
        <w:rPr>
          <w:rFonts w:hint="eastAsia" w:ascii="仿宋_GB2312" w:hAnsi="仿宋_GB2312" w:eastAsia="仿宋_GB2312" w:cs="仿宋_GB2312"/>
          <w:sz w:val="32"/>
          <w:szCs w:val="32"/>
          <w:lang w:val="en-US"/>
        </w:rPr>
        <w:t>中标人应向接受培训人员提供技术资料、图纸等。</w:t>
      </w:r>
    </w:p>
    <w:p w14:paraId="333E4D34">
      <w:pPr>
        <w:pStyle w:val="4"/>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⑤投标人应将所有培训费用（含培训教材费）计入投标总价。</w:t>
      </w:r>
    </w:p>
    <w:p w14:paraId="311F6D08">
      <w:pPr>
        <w:pStyle w:val="4"/>
        <w:keepNext w:val="0"/>
        <w:keepLines w:val="0"/>
        <w:pageBreakBefore w:val="0"/>
        <w:kinsoku/>
        <w:wordWrap/>
        <w:overflowPunct/>
        <w:topLinePunct w:val="0"/>
        <w:bidi w:val="0"/>
        <w:spacing w:line="560" w:lineRule="exact"/>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bidi="ar-SA"/>
        </w:rPr>
        <w:t>七、售后服务</w:t>
      </w:r>
    </w:p>
    <w:p w14:paraId="4C328C86">
      <w:pPr>
        <w:pStyle w:val="4"/>
        <w:keepNext w:val="0"/>
        <w:keepLines w:val="0"/>
        <w:pageBreakBefore w:val="0"/>
        <w:kinsoku/>
        <w:wordWrap/>
        <w:overflowPunct/>
        <w:topLinePunct w:val="0"/>
        <w:bidi w:val="0"/>
        <w:spacing w:line="560" w:lineRule="exact"/>
        <w:ind w:firstLine="640" w:firstLineChars="200"/>
        <w:rPr>
          <w:rFonts w:hint="eastAsia" w:ascii="仿宋_GB2312" w:eastAsia="仿宋_GB2312"/>
          <w:kern w:val="2"/>
          <w:sz w:val="32"/>
          <w:szCs w:val="32"/>
          <w:lang w:val="en-US" w:bidi="ar-SA"/>
        </w:rPr>
      </w:pPr>
      <w:r>
        <w:rPr>
          <w:rFonts w:hint="eastAsia" w:ascii="仿宋_GB2312" w:eastAsia="仿宋_GB2312"/>
          <w:kern w:val="2"/>
          <w:sz w:val="32"/>
          <w:szCs w:val="32"/>
          <w:lang w:val="en-US" w:bidi="ar-SA"/>
        </w:rPr>
        <w:t>1.实验室设备整体质保要求：</w:t>
      </w:r>
    </w:p>
    <w:p w14:paraId="09A8D0A6">
      <w:pPr>
        <w:pStyle w:val="4"/>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自设备安装调试正常运转且用户完成验收之日起，质保期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年。质保期承诺：在质保期内发现供货范围内的任何设备存在缺陷、设备出现故障或发现达不到应标书所标明的技术指标时，中标人在接到通知后必须迅速赶到现场处理，招标人根据情况分析实属产品质量问题时，有权要求中标人为其免费更换设备，即中标人免费负责设备检修、零部件的更换和整机的更换。质保期过后，中标人负责设备终身维护，将以最优惠的价格向买方提供维护修理服务。自验收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年内应不发生由于制造质量问题的损坏，否则中标人应负责免费更换。</w:t>
      </w:r>
    </w:p>
    <w:p w14:paraId="14DBDBED">
      <w:pPr>
        <w:pStyle w:val="4"/>
        <w:keepNext w:val="0"/>
        <w:keepLines w:val="0"/>
        <w:pageBreakBefore w:val="0"/>
        <w:numPr>
          <w:ilvl w:val="0"/>
          <w:numId w:val="0"/>
        </w:numPr>
        <w:kinsoku/>
        <w:wordWrap/>
        <w:overflowPunct/>
        <w:topLinePunct w:val="0"/>
        <w:bidi w:val="0"/>
        <w:spacing w:line="560" w:lineRule="exact"/>
        <w:ind w:firstLine="640" w:firstLineChars="200"/>
        <w:rPr>
          <w:rFonts w:hint="eastAsia" w:ascii="仿宋_GB2312" w:eastAsia="仿宋_GB2312"/>
          <w:kern w:val="2"/>
          <w:sz w:val="32"/>
          <w:szCs w:val="32"/>
          <w:lang w:val="en-US" w:bidi="ar-SA"/>
        </w:rPr>
      </w:pPr>
      <w:r>
        <w:rPr>
          <w:rFonts w:hint="eastAsia" w:ascii="仿宋_GB2312" w:hAnsi="宋体" w:eastAsia="仿宋_GB2312" w:cstheme="minorBidi"/>
          <w:kern w:val="2"/>
          <w:sz w:val="32"/>
          <w:szCs w:val="32"/>
          <w:lang w:val="en-US" w:eastAsia="zh-CN" w:bidi="ar-SA"/>
        </w:rPr>
        <w:t>2.</w:t>
      </w:r>
      <w:r>
        <w:rPr>
          <w:rFonts w:hint="eastAsia" w:ascii="仿宋_GB2312" w:eastAsia="仿宋_GB2312"/>
          <w:kern w:val="2"/>
          <w:sz w:val="32"/>
          <w:szCs w:val="32"/>
          <w:lang w:val="en-US" w:bidi="ar-SA"/>
        </w:rPr>
        <w:t>售后服务时效：</w:t>
      </w:r>
    </w:p>
    <w:p w14:paraId="6A3F2921">
      <w:pPr>
        <w:pStyle w:val="4"/>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如设备出现故障，接到招标人的保修电话后，2小时内回复响应；若</w:t>
      </w:r>
      <w:r>
        <w:rPr>
          <w:rFonts w:hint="eastAsia" w:ascii="仿宋_GB2312" w:hAnsi="仿宋_GB2312" w:eastAsia="仿宋_GB2312" w:cs="仿宋_GB2312"/>
          <w:sz w:val="32"/>
          <w:szCs w:val="32"/>
          <w:lang w:val="en-US" w:eastAsia="zh-CN"/>
        </w:rPr>
        <w:t>远程指导</w:t>
      </w:r>
      <w:r>
        <w:rPr>
          <w:rFonts w:hint="eastAsia" w:ascii="仿宋_GB2312" w:hAnsi="仿宋_GB2312" w:eastAsia="仿宋_GB2312" w:cs="仿宋_GB2312"/>
          <w:sz w:val="32"/>
          <w:szCs w:val="32"/>
          <w:lang w:val="en-US"/>
        </w:rPr>
        <w:t>不能解决故障，中标人</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val="en-US"/>
        </w:rPr>
        <w:t>派遣维护工程师在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小时内到达现场。对于一般故障（更换不影响性能的部件）应在工程师到达现场后</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rPr>
        <w:t>小时内修复；对于重大故障（更换影响性能的部件）应在7个工作日内完成修复</w:t>
      </w:r>
      <w:r>
        <w:rPr>
          <w:rFonts w:hint="eastAsia" w:ascii="仿宋_GB2312" w:hAnsi="仿宋_GB2312" w:eastAsia="仿宋_GB2312" w:cs="仿宋_GB2312"/>
          <w:sz w:val="32"/>
          <w:szCs w:val="32"/>
          <w:lang w:val="en-US" w:eastAsia="zh-CN"/>
        </w:rPr>
        <w:t>，并在维修期间提供设备备品以供教学使用</w:t>
      </w:r>
      <w:r>
        <w:rPr>
          <w:rFonts w:hint="eastAsia" w:ascii="仿宋_GB2312" w:hAnsi="仿宋_GB2312" w:eastAsia="仿宋_GB2312" w:cs="仿宋_GB2312"/>
          <w:sz w:val="32"/>
          <w:szCs w:val="32"/>
          <w:lang w:val="en-US"/>
        </w:rPr>
        <w:t>。如中标人在接到报修电话8小时后无答复或48小时内不能到达现场，视为中标人承认设备质量问题并承担由此发生的</w:t>
      </w:r>
      <w:r>
        <w:rPr>
          <w:rFonts w:hint="eastAsia" w:ascii="仿宋_GB2312" w:hAnsi="仿宋_GB2312" w:eastAsia="仿宋_GB2312" w:cs="仿宋_GB2312"/>
          <w:sz w:val="32"/>
          <w:szCs w:val="32"/>
          <w:lang w:val="en-US" w:eastAsia="zh-CN"/>
        </w:rPr>
        <w:t>一切</w:t>
      </w:r>
      <w:r>
        <w:rPr>
          <w:rFonts w:hint="eastAsia" w:ascii="仿宋_GB2312" w:hAnsi="仿宋_GB2312" w:eastAsia="仿宋_GB2312" w:cs="仿宋_GB2312"/>
          <w:sz w:val="32"/>
          <w:szCs w:val="32"/>
          <w:lang w:val="en-US"/>
        </w:rPr>
        <w:t>费用。</w:t>
      </w:r>
    </w:p>
    <w:p w14:paraId="08160413">
      <w:pPr>
        <w:pStyle w:val="4"/>
        <w:keepNext w:val="0"/>
        <w:keepLines w:val="0"/>
        <w:pageBreakBefore w:val="0"/>
        <w:kinsoku/>
        <w:wordWrap/>
        <w:overflowPunct/>
        <w:topLinePunct w:val="0"/>
        <w:bidi w:val="0"/>
        <w:spacing w:line="560" w:lineRule="exact"/>
        <w:ind w:firstLine="640" w:firstLineChars="200"/>
        <w:rPr>
          <w:rFonts w:hint="eastAsia" w:ascii="仿宋_GB2312" w:eastAsia="仿宋_GB2312"/>
          <w:kern w:val="2"/>
          <w:sz w:val="32"/>
          <w:szCs w:val="32"/>
          <w:lang w:val="en-US" w:bidi="ar-SA"/>
        </w:rPr>
      </w:pPr>
      <w:r>
        <w:rPr>
          <w:rFonts w:hint="eastAsia" w:ascii="仿宋_GB2312" w:eastAsia="仿宋_GB2312"/>
          <w:kern w:val="2"/>
          <w:sz w:val="32"/>
          <w:szCs w:val="32"/>
          <w:lang w:val="en-US" w:bidi="ar-SA"/>
        </w:rPr>
        <w:t>3.教学软件购置质保期内免费升级。</w:t>
      </w:r>
    </w:p>
    <w:p w14:paraId="078388EA">
      <w:pPr>
        <w:pStyle w:val="4"/>
        <w:keepNext w:val="0"/>
        <w:keepLines w:val="0"/>
        <w:pageBreakBefore w:val="0"/>
        <w:kinsoku/>
        <w:wordWrap/>
        <w:overflowPunct/>
        <w:topLinePunct w:val="0"/>
        <w:bidi w:val="0"/>
        <w:spacing w:line="560" w:lineRule="exact"/>
        <w:rPr>
          <w:rFonts w:hint="eastAsia" w:ascii="黑体" w:hAnsi="黑体" w:eastAsia="黑体" w:cs="黑体"/>
          <w:kern w:val="2"/>
          <w:sz w:val="32"/>
          <w:szCs w:val="32"/>
          <w:lang w:val="en-US" w:bidi="ar-SA"/>
        </w:rPr>
      </w:pPr>
      <w:bookmarkStart w:id="3" w:name="_GoBack"/>
      <w:bookmarkEnd w:id="3"/>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C9C80"/>
    <w:multiLevelType w:val="singleLevel"/>
    <w:tmpl w:val="E8AC9C80"/>
    <w:lvl w:ilvl="0" w:tentative="0">
      <w:start w:val="4"/>
      <w:numFmt w:val="chineseCounting"/>
      <w:suff w:val="nothing"/>
      <w:lvlText w:val="%1、"/>
      <w:lvlJc w:val="left"/>
      <w:rPr>
        <w:rFonts w:hint="eastAsia"/>
      </w:rPr>
    </w:lvl>
  </w:abstractNum>
  <w:abstractNum w:abstractNumId="1">
    <w:nsid w:val="24486DED"/>
    <w:multiLevelType w:val="singleLevel"/>
    <w:tmpl w:val="24486DED"/>
    <w:lvl w:ilvl="0" w:tentative="0">
      <w:start w:val="1"/>
      <w:numFmt w:val="chineseCounting"/>
      <w:suff w:val="nothing"/>
      <w:lvlText w:val="%1、"/>
      <w:lvlJc w:val="left"/>
      <w:rPr>
        <w:rFonts w:hint="eastAsia"/>
      </w:rPr>
    </w:lvl>
  </w:abstractNum>
  <w:abstractNum w:abstractNumId="2">
    <w:nsid w:val="681C0AFC"/>
    <w:multiLevelType w:val="singleLevel"/>
    <w:tmpl w:val="681C0AFC"/>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NzIyM2U2ZWM5MjM1OGJmMWVjNTU4NjA5OGUzYTUifQ=="/>
  </w:docVars>
  <w:rsids>
    <w:rsidRoot w:val="00E85534"/>
    <w:rsid w:val="001E3D84"/>
    <w:rsid w:val="00207BD2"/>
    <w:rsid w:val="00543BD4"/>
    <w:rsid w:val="00D527D8"/>
    <w:rsid w:val="00E85534"/>
    <w:rsid w:val="00EE6E67"/>
    <w:rsid w:val="05DC421B"/>
    <w:rsid w:val="0ACA6D38"/>
    <w:rsid w:val="0BBE064B"/>
    <w:rsid w:val="0CA366F5"/>
    <w:rsid w:val="0D8D25F6"/>
    <w:rsid w:val="0DAA7401"/>
    <w:rsid w:val="10EF12A7"/>
    <w:rsid w:val="11A16A45"/>
    <w:rsid w:val="16ED6F95"/>
    <w:rsid w:val="1A7C0033"/>
    <w:rsid w:val="1FC102B2"/>
    <w:rsid w:val="21AD382F"/>
    <w:rsid w:val="22E94F81"/>
    <w:rsid w:val="28445AE8"/>
    <w:rsid w:val="294A7478"/>
    <w:rsid w:val="2CAE3F84"/>
    <w:rsid w:val="2DDC001B"/>
    <w:rsid w:val="361C5FF4"/>
    <w:rsid w:val="383C09C6"/>
    <w:rsid w:val="3F81298D"/>
    <w:rsid w:val="4024421A"/>
    <w:rsid w:val="484C255F"/>
    <w:rsid w:val="4DA573A0"/>
    <w:rsid w:val="4F621088"/>
    <w:rsid w:val="528E4D34"/>
    <w:rsid w:val="574D77D9"/>
    <w:rsid w:val="5F6917F1"/>
    <w:rsid w:val="5FD749AD"/>
    <w:rsid w:val="6026594E"/>
    <w:rsid w:val="627413EC"/>
    <w:rsid w:val="67177D85"/>
    <w:rsid w:val="68896A60"/>
    <w:rsid w:val="6B721D7B"/>
    <w:rsid w:val="6C3C2767"/>
    <w:rsid w:val="6DC37B2F"/>
    <w:rsid w:val="76D01188"/>
    <w:rsid w:val="771A1486"/>
    <w:rsid w:val="7AEF309B"/>
    <w:rsid w:val="7DDF6B22"/>
    <w:rsid w:val="7E7E3E5A"/>
    <w:rsid w:val="7F1B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0"/>
    <w:pPr>
      <w:autoSpaceDE w:val="0"/>
      <w:autoSpaceDN w:val="0"/>
      <w:jc w:val="left"/>
    </w:pPr>
    <w:rPr>
      <w:rFonts w:ascii="宋体" w:hAnsi="宋体"/>
      <w:kern w:val="0"/>
      <w:sz w:val="28"/>
      <w:szCs w:val="28"/>
      <w:lang w:val="zh-CN" w:bidi="zh-CN"/>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0"/>
    <w:pPr>
      <w:autoSpaceDE w:val="0"/>
      <w:autoSpaceDN w:val="0"/>
      <w:jc w:val="left"/>
    </w:pPr>
    <w:rPr>
      <w:rFonts w:ascii="宋体" w:hAnsi="宋体"/>
      <w:kern w:val="0"/>
      <w:sz w:val="22"/>
      <w:lang w:val="zh-CN" w:bidi="zh-CN"/>
    </w:rPr>
  </w:style>
  <w:style w:type="paragraph" w:styleId="11">
    <w:name w:val="List Paragraph"/>
    <w:basedOn w:val="1"/>
    <w:unhideWhenUsed/>
    <w:qFormat/>
    <w:uiPriority w:val="99"/>
    <w:pPr>
      <w:ind w:firstLine="420" w:firstLineChars="200"/>
    </w:pPr>
  </w:style>
  <w:style w:type="paragraph" w:customStyle="1" w:styleId="12">
    <w:name w:val="！A正文小四"/>
    <w:basedOn w:val="1"/>
    <w:qFormat/>
    <w:uiPriority w:val="0"/>
    <w:pPr>
      <w:spacing w:line="360" w:lineRule="auto"/>
      <w:ind w:firstLine="420" w:firstLineChars="200"/>
    </w:pPr>
    <w:rPr>
      <w:rFonts w:ascii="宋体" w:hAnsi="宋体" w:cs="宋体"/>
      <w:szCs w:val="21"/>
      <w:lang w:val="zh-CN"/>
    </w:rPr>
  </w:style>
  <w:style w:type="character" w:customStyle="1" w:styleId="13">
    <w:name w:val="页眉 字符"/>
    <w:basedOn w:val="9"/>
    <w:link w:val="6"/>
    <w:qFormat/>
    <w:uiPriority w:val="0"/>
    <w:rPr>
      <w:kern w:val="2"/>
      <w:sz w:val="18"/>
      <w:szCs w:val="18"/>
    </w:rPr>
  </w:style>
  <w:style w:type="character" w:customStyle="1" w:styleId="14">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6272</Words>
  <Characters>7074</Characters>
  <Lines>51</Lines>
  <Paragraphs>14</Paragraphs>
  <TotalTime>84</TotalTime>
  <ScaleCrop>false</ScaleCrop>
  <LinksUpToDate>false</LinksUpToDate>
  <CharactersWithSpaces>7110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2024-06-04T07:45:00Z</dcterms:created>
  <dc:creator>徐</dc:creator>
  <cp:lastModifiedBy>香格里拉</cp:lastModifiedBy>
  <cp:lastPrinted>2025-07-18T03:13:00Z</cp:lastPrinted>
  <dcterms:modified xsi:type="dcterms:W3CDTF">2025-07-26T12:35:20Z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6CF26DD3BC8D495DBBF9FD26990B9860_12</vt:lpwstr>
  </property>
  <property fmtid="{D5CDD505-2E9C-101B-9397-08002B2CF9AE}" pid="4" name="KSOTemplateDocerSaveRecord">
    <vt:lpwstr>eyJoZGlkIjoiMDJiZDI5YjE4MmRmOWJjYTAyYzc2MWE3ZDFiY2MxN2EiLCJ1c2VySWQiOiIxMTYxNjM5ODgyIn0=</vt:lpwstr>
  </property>
  <property fmtid="{D5CDD505-2E9C-101B-9397-08002B2CF9AE}" pid="5" name="MSIP_Label_defa4170-0d19-0005-0004-bc88714345d2_Enabled">
    <vt:lpwstr>true</vt:lpwstr>
  </property>
  <property fmtid="{D5CDD505-2E9C-101B-9397-08002B2CF9AE}" pid="6" name="MSIP_Label_defa4170-0d19-0005-0004-bc88714345d2_SetDate">
    <vt:lpwstr>2025-07-13T12:39:37Z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c95e2b2c-61fd-4a52-82d1-e11f221cfa89</vt:lpwstr>
  </property>
  <property fmtid="{D5CDD505-2E9C-101B-9397-08002B2CF9AE}" pid="10" name="MSIP_Label_defa4170-0d19-0005-0004-bc88714345d2_ActionId">
    <vt:lpwstr>8cd0243b-c0ac-4d18-b25f-3dadb65bd478</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