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5C212">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5G移动通信虚拟仿真实验室建设标书</w:t>
      </w:r>
    </w:p>
    <w:p w14:paraId="07C30D46">
      <w:pPr>
        <w:keepNext w:val="0"/>
        <w:keepLines w:val="0"/>
        <w:pageBreakBefore w:val="0"/>
        <w:kinsoku/>
        <w:wordWrap/>
        <w:overflowPunct/>
        <w:topLinePunct w:val="0"/>
        <w:bidi w:val="0"/>
        <w:adjustRightInd/>
        <w:snapToGrid/>
        <w:spacing w:line="560" w:lineRule="exact"/>
        <w:jc w:val="left"/>
        <w:rPr>
          <w:rFonts w:hint="eastAsia" w:ascii="黑体" w:hAnsi="黑体" w:eastAsia="黑体" w:cs="黑体"/>
          <w:sz w:val="32"/>
          <w:szCs w:val="32"/>
        </w:rPr>
      </w:pPr>
      <w:r>
        <w:rPr>
          <w:rFonts w:hint="eastAsia" w:ascii="黑体" w:hAnsi="黑体" w:eastAsia="黑体" w:cs="黑体"/>
          <w:sz w:val="32"/>
          <w:szCs w:val="32"/>
        </w:rPr>
        <w:t>一、主要功能要求</w:t>
      </w:r>
    </w:p>
    <w:p w14:paraId="60E0FD03">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1.实验室能够同时满足基础性实验、设计性实验、创新性实验、综合性实验。</w:t>
      </w:r>
    </w:p>
    <w:p w14:paraId="325739FA">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2.实验室能够满足无线网络优化、无线通信原理、通信原理、现代通信技术、现代交换技术、移动通信课程设计、通信系统综合设计、通信技术课程设计等课程实践教学的需求。</w:t>
      </w:r>
    </w:p>
    <w:p w14:paraId="5757F626">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3.实验室能够满足学生参与“大唐杯”全国大学生新一代信息通信技术大赛等学科竞赛的备赛活动。</w:t>
      </w:r>
    </w:p>
    <w:p w14:paraId="648AF0D6">
      <w:pPr>
        <w:keepNext w:val="0"/>
        <w:keepLines w:val="0"/>
        <w:pageBreakBefore w:val="0"/>
        <w:widowControl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4.实验室建设成功后将大大提升学生的专业认知水平，从而提升专业实践能力。</w:t>
      </w:r>
    </w:p>
    <w:p w14:paraId="41462433">
      <w:pPr>
        <w:keepNext w:val="0"/>
        <w:keepLines w:val="0"/>
        <w:pageBreakBefore w:val="0"/>
        <w:kinsoku/>
        <w:wordWrap/>
        <w:overflowPunct/>
        <w:topLinePunct w:val="0"/>
        <w:bidi w:val="0"/>
        <w:adjustRightInd/>
        <w:snapToGrid/>
        <w:spacing w:line="560" w:lineRule="exact"/>
        <w:jc w:val="left"/>
        <w:rPr>
          <w:rFonts w:hint="eastAsia" w:ascii="黑体" w:hAnsi="黑体" w:eastAsia="黑体" w:cs="黑体"/>
          <w:sz w:val="32"/>
          <w:szCs w:val="32"/>
        </w:rPr>
      </w:pPr>
      <w:r>
        <w:rPr>
          <w:rFonts w:hint="eastAsia" w:ascii="黑体" w:hAnsi="黑体" w:eastAsia="黑体" w:cs="黑体"/>
          <w:sz w:val="32"/>
          <w:szCs w:val="32"/>
        </w:rPr>
        <w:t>二、仪器设备清单</w:t>
      </w:r>
    </w:p>
    <w:tbl>
      <w:tblPr>
        <w:tblStyle w:val="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5438"/>
        <w:gridCol w:w="2302"/>
      </w:tblGrid>
      <w:tr w14:paraId="4F0A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vAlign w:val="center"/>
          </w:tcPr>
          <w:p w14:paraId="3AE785EE">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5438" w:type="dxa"/>
            <w:vAlign w:val="center"/>
          </w:tcPr>
          <w:p w14:paraId="5F09C749">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设备名称</w:t>
            </w:r>
          </w:p>
        </w:tc>
        <w:tc>
          <w:tcPr>
            <w:tcW w:w="2302" w:type="dxa"/>
            <w:vAlign w:val="center"/>
          </w:tcPr>
          <w:p w14:paraId="152F34D5">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数量</w:t>
            </w:r>
          </w:p>
        </w:tc>
      </w:tr>
      <w:tr w14:paraId="35F0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vAlign w:val="center"/>
          </w:tcPr>
          <w:p w14:paraId="61BAF82F">
            <w:pPr>
              <w:pStyle w:val="8"/>
              <w:keepNext w:val="0"/>
              <w:keepLines w:val="0"/>
              <w:pageBreakBefore w:val="0"/>
              <w:kinsoku/>
              <w:wordWrap/>
              <w:overflowPunct/>
              <w:topLinePunct w:val="0"/>
              <w:bidi w:val="0"/>
              <w:adjustRightInd/>
              <w:snapToGrid/>
              <w:spacing w:line="240" w:lineRule="auto"/>
              <w:ind w:right="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438" w:type="dxa"/>
            <w:vAlign w:val="center"/>
          </w:tcPr>
          <w:p w14:paraId="5CD01B8F">
            <w:pPr>
              <w:keepNext w:val="0"/>
              <w:keepLines w:val="0"/>
              <w:pageBreakBefore w:val="0"/>
              <w:kinsoku/>
              <w:wordWrap/>
              <w:overflowPunct/>
              <w:topLinePunct w:val="0"/>
              <w:bidi w:val="0"/>
              <w:adjustRightInd/>
              <w:snapToGrid/>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教学型基站</w:t>
            </w:r>
          </w:p>
        </w:tc>
        <w:tc>
          <w:tcPr>
            <w:tcW w:w="2302" w:type="dxa"/>
            <w:vAlign w:val="center"/>
          </w:tcPr>
          <w:p w14:paraId="36BE19C9">
            <w:pPr>
              <w:keepNext w:val="0"/>
              <w:keepLines w:val="0"/>
              <w:pageBreakBefore w:val="0"/>
              <w:kinsoku/>
              <w:wordWrap/>
              <w:overflowPunct/>
              <w:topLinePunct w:val="0"/>
              <w:bidi w:val="0"/>
              <w:adjustRightInd/>
              <w:snapToGrid/>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台</w:t>
            </w:r>
          </w:p>
        </w:tc>
      </w:tr>
      <w:tr w14:paraId="3B59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vAlign w:val="center"/>
          </w:tcPr>
          <w:p w14:paraId="559E1F1A">
            <w:pPr>
              <w:pStyle w:val="8"/>
              <w:keepNext w:val="0"/>
              <w:keepLines w:val="0"/>
              <w:pageBreakBefore w:val="0"/>
              <w:kinsoku/>
              <w:wordWrap/>
              <w:overflowPunct/>
              <w:topLinePunct w:val="0"/>
              <w:bidi w:val="0"/>
              <w:adjustRightInd/>
              <w:snapToGrid/>
              <w:spacing w:line="240" w:lineRule="auto"/>
              <w:ind w:right="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438" w:type="dxa"/>
            <w:vAlign w:val="center"/>
          </w:tcPr>
          <w:p w14:paraId="2E1C05A8">
            <w:pPr>
              <w:keepNext w:val="0"/>
              <w:keepLines w:val="0"/>
              <w:pageBreakBefore w:val="0"/>
              <w:kinsoku/>
              <w:wordWrap/>
              <w:overflowPunct/>
              <w:topLinePunct w:val="0"/>
              <w:bidi w:val="0"/>
              <w:adjustRightInd/>
              <w:snapToGrid/>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5G工程实践及通信原理仿真平台</w:t>
            </w:r>
          </w:p>
        </w:tc>
        <w:tc>
          <w:tcPr>
            <w:tcW w:w="2302" w:type="dxa"/>
            <w:vAlign w:val="center"/>
          </w:tcPr>
          <w:p w14:paraId="0411D660">
            <w:pPr>
              <w:keepNext w:val="0"/>
              <w:keepLines w:val="0"/>
              <w:pageBreakBefore w:val="0"/>
              <w:kinsoku/>
              <w:wordWrap/>
              <w:overflowPunct/>
              <w:topLinePunct w:val="0"/>
              <w:bidi w:val="0"/>
              <w:adjustRightInd/>
              <w:snapToGrid/>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26</w:t>
            </w:r>
            <w:r>
              <w:rPr>
                <w:rFonts w:hint="eastAsia" w:asciiTheme="minorEastAsia" w:hAnsiTheme="minorEastAsia" w:cstheme="minorEastAsia"/>
                <w:sz w:val="24"/>
                <w:szCs w:val="24"/>
                <w:lang w:val="en-US" w:eastAsia="zh-CN"/>
              </w:rPr>
              <w:t>套</w:t>
            </w:r>
          </w:p>
        </w:tc>
      </w:tr>
      <w:tr w14:paraId="3F9F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vAlign w:val="center"/>
          </w:tcPr>
          <w:p w14:paraId="4FEFD5F6">
            <w:pPr>
              <w:pStyle w:val="8"/>
              <w:keepNext w:val="0"/>
              <w:keepLines w:val="0"/>
              <w:pageBreakBefore w:val="0"/>
              <w:kinsoku/>
              <w:wordWrap/>
              <w:overflowPunct/>
              <w:topLinePunct w:val="0"/>
              <w:bidi w:val="0"/>
              <w:adjustRightInd/>
              <w:snapToGrid/>
              <w:spacing w:line="240" w:lineRule="auto"/>
              <w:ind w:right="16"/>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5438" w:type="dxa"/>
            <w:vAlign w:val="center"/>
          </w:tcPr>
          <w:p w14:paraId="3EF02E3C">
            <w:pPr>
              <w:keepNext w:val="0"/>
              <w:keepLines w:val="0"/>
              <w:pageBreakBefore w:val="0"/>
              <w:kinsoku/>
              <w:wordWrap/>
              <w:overflowPunct/>
              <w:topLinePunct w:val="0"/>
              <w:bidi w:val="0"/>
              <w:adjustRightInd/>
              <w:snapToGrid/>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D0D0D"/>
                <w:sz w:val="24"/>
                <w:szCs w:val="24"/>
              </w:rPr>
              <w:t>软件无线电创新平台</w:t>
            </w:r>
          </w:p>
        </w:tc>
        <w:tc>
          <w:tcPr>
            <w:tcW w:w="2302" w:type="dxa"/>
            <w:vAlign w:val="center"/>
          </w:tcPr>
          <w:p w14:paraId="1F2A94E8">
            <w:pPr>
              <w:keepNext w:val="0"/>
              <w:keepLines w:val="0"/>
              <w:pageBreakBefore w:val="0"/>
              <w:kinsoku/>
              <w:wordWrap/>
              <w:overflowPunct/>
              <w:topLinePunct w:val="0"/>
              <w:bidi w:val="0"/>
              <w:adjustRightInd/>
              <w:snapToGrid/>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val="en-US" w:eastAsia="zh-CN"/>
              </w:rPr>
              <w:t>套</w:t>
            </w:r>
          </w:p>
        </w:tc>
      </w:tr>
      <w:tr w14:paraId="0E4E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vAlign w:val="center"/>
          </w:tcPr>
          <w:p w14:paraId="5D1A383F">
            <w:pPr>
              <w:pStyle w:val="8"/>
              <w:keepNext w:val="0"/>
              <w:keepLines w:val="0"/>
              <w:pageBreakBefore w:val="0"/>
              <w:kinsoku/>
              <w:wordWrap/>
              <w:overflowPunct/>
              <w:topLinePunct w:val="0"/>
              <w:bidi w:val="0"/>
              <w:adjustRightInd/>
              <w:snapToGrid/>
              <w:spacing w:line="240" w:lineRule="auto"/>
              <w:ind w:right="16"/>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5438" w:type="dxa"/>
            <w:vAlign w:val="center"/>
          </w:tcPr>
          <w:p w14:paraId="51ECBB74">
            <w:pPr>
              <w:keepNext w:val="0"/>
              <w:keepLines w:val="0"/>
              <w:pageBreakBefore w:val="0"/>
              <w:kinsoku/>
              <w:wordWrap/>
              <w:overflowPunct/>
              <w:topLinePunct w:val="0"/>
              <w:bidi w:val="0"/>
              <w:adjustRightInd/>
              <w:snapToGrid/>
              <w:spacing w:line="240" w:lineRule="auto"/>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人工智能通信技术实验开发平台</w:t>
            </w:r>
          </w:p>
        </w:tc>
        <w:tc>
          <w:tcPr>
            <w:tcW w:w="2302" w:type="dxa"/>
            <w:vAlign w:val="center"/>
          </w:tcPr>
          <w:p w14:paraId="01E02092">
            <w:pPr>
              <w:keepNext w:val="0"/>
              <w:keepLines w:val="0"/>
              <w:pageBreakBefore w:val="0"/>
              <w:kinsoku/>
              <w:wordWrap/>
              <w:overflowPunct/>
              <w:topLinePunct w:val="0"/>
              <w:bidi w:val="0"/>
              <w:adjustRightInd/>
              <w:snapToGrid/>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val="en-US" w:eastAsia="zh-CN"/>
              </w:rPr>
              <w:t>套</w:t>
            </w:r>
          </w:p>
        </w:tc>
      </w:tr>
    </w:tbl>
    <w:p w14:paraId="669B1C25">
      <w:pPr>
        <w:keepNext w:val="0"/>
        <w:keepLines w:val="0"/>
        <w:pageBreakBefore w:val="0"/>
        <w:kinsoku/>
        <w:wordWrap/>
        <w:overflowPunct/>
        <w:topLinePunct w:val="0"/>
        <w:bidi w:val="0"/>
        <w:adjustRightInd/>
        <w:snapToGrid/>
        <w:spacing w:line="560" w:lineRule="exact"/>
        <w:jc w:val="left"/>
        <w:rPr>
          <w:rFonts w:hint="eastAsia" w:ascii="黑体" w:hAnsi="黑体" w:eastAsia="黑体" w:cs="黑体"/>
          <w:sz w:val="32"/>
          <w:szCs w:val="32"/>
        </w:rPr>
      </w:pPr>
      <w:r>
        <w:rPr>
          <w:rFonts w:hint="eastAsia" w:ascii="黑体" w:hAnsi="黑体" w:eastAsia="黑体" w:cs="黑体"/>
          <w:sz w:val="32"/>
          <w:szCs w:val="32"/>
        </w:rPr>
        <w:t>三、技术参数</w:t>
      </w:r>
    </w:p>
    <w:tbl>
      <w:tblPr>
        <w:tblStyle w:val="6"/>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95"/>
        <w:gridCol w:w="5535"/>
        <w:gridCol w:w="1268"/>
      </w:tblGrid>
      <w:tr w14:paraId="1076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6793B552">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395" w:type="dxa"/>
            <w:vAlign w:val="center"/>
          </w:tcPr>
          <w:p w14:paraId="289FEAA0">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设备名称</w:t>
            </w:r>
          </w:p>
        </w:tc>
        <w:tc>
          <w:tcPr>
            <w:tcW w:w="5535" w:type="dxa"/>
            <w:vAlign w:val="center"/>
          </w:tcPr>
          <w:p w14:paraId="19F8BBD1">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color w:val="000000"/>
                <w:sz w:val="24"/>
              </w:rPr>
              <w:t>详细技术参数</w:t>
            </w:r>
          </w:p>
        </w:tc>
        <w:tc>
          <w:tcPr>
            <w:tcW w:w="1268" w:type="dxa"/>
            <w:vAlign w:val="center"/>
          </w:tcPr>
          <w:p w14:paraId="764A0389">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是否开源</w:t>
            </w:r>
          </w:p>
        </w:tc>
      </w:tr>
      <w:tr w14:paraId="1A5A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2EBE0AA9">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hAnsi="宋体" w:eastAsia="宋体" w:cs="宋体"/>
                <w:sz w:val="24"/>
              </w:rPr>
            </w:pPr>
            <w:r>
              <w:rPr>
                <w:rFonts w:hint="eastAsia" w:ascii="宋体" w:hAnsi="宋体" w:eastAsia="宋体" w:cs="宋体"/>
                <w:color w:val="000000"/>
                <w:kern w:val="0"/>
                <w:sz w:val="24"/>
              </w:rPr>
              <w:t>1</w:t>
            </w:r>
          </w:p>
        </w:tc>
        <w:tc>
          <w:tcPr>
            <w:tcW w:w="1395" w:type="dxa"/>
            <w:vAlign w:val="center"/>
          </w:tcPr>
          <w:p w14:paraId="4BABC292">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szCs w:val="21"/>
              </w:rPr>
              <w:t>教学型基站</w:t>
            </w:r>
          </w:p>
        </w:tc>
        <w:tc>
          <w:tcPr>
            <w:tcW w:w="5535" w:type="dxa"/>
            <w:vAlign w:val="center"/>
          </w:tcPr>
          <w:p w14:paraId="17543854">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1、适配19英寸机柜安装、机架安装、挂墙机框安装、地板安装；</w:t>
            </w:r>
          </w:p>
          <w:p w14:paraId="1501A777">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2、支持各板卡指示灯；</w:t>
            </w:r>
          </w:p>
          <w:p w14:paraId="7B823580">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3、满配重量≤10kg；</w:t>
            </w:r>
          </w:p>
          <w:p w14:paraId="4D4B7552">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4、功耗≤35W；</w:t>
            </w:r>
          </w:p>
          <w:p w14:paraId="62E0B483">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 xml:space="preserve">5、配套的教学实践软件或平台须支持堪站规划及基站网络部署实践教学功能；支持基站开通调测及验证流程实践教学功能（需提供符合要求的产品功能截图及说明）。 </w:t>
            </w:r>
          </w:p>
          <w:p w14:paraId="6179EABE">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6、配套仿真实践教学软件或平台须满足国家版权局对计算机软件著作权登记要求；（需提供软件著作权证书复印件）</w:t>
            </w:r>
          </w:p>
          <w:p w14:paraId="1D2F5D1B">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7、配套的教学实践软件或平台须支持基站开通调测及验证流程实践教学功能；（需提供符合要求的产品功能截图及说明）</w:t>
            </w:r>
          </w:p>
          <w:p w14:paraId="3D13A5BB">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8、配套的教学实践软件或平台支持5G+应用部署实践教学功能；</w:t>
            </w:r>
          </w:p>
          <w:p w14:paraId="35C9D75E">
            <w:pPr>
              <w:keepNext w:val="0"/>
              <w:keepLines w:val="0"/>
              <w:pageBreakBefore w:val="0"/>
              <w:kinsoku/>
              <w:wordWrap/>
              <w:overflowPunct/>
              <w:topLinePunct w:val="0"/>
              <w:bidi w:val="0"/>
              <w:adjustRightInd/>
              <w:snapToGrid/>
              <w:spacing w:line="240" w:lineRule="auto"/>
              <w:rPr>
                <w:rFonts w:hint="eastAsia" w:ascii="宋体" w:hAnsi="宋体" w:eastAsia="宋体" w:cs="宋体"/>
                <w:spacing w:val="-2"/>
                <w:sz w:val="24"/>
              </w:rPr>
            </w:pPr>
            <w:r>
              <w:rPr>
                <w:rFonts w:hint="eastAsia" w:ascii="宋体" w:hAnsi="宋体"/>
                <w:color w:val="000000"/>
                <w:szCs w:val="21"/>
              </w:rPr>
              <w:t>9、教学型基站及配套实践教学软件或平台所支撑基站开通与调测教学过程。(需提供符合要求的产品功能截图及说明)</w:t>
            </w:r>
          </w:p>
        </w:tc>
        <w:tc>
          <w:tcPr>
            <w:tcW w:w="1268" w:type="dxa"/>
            <w:vAlign w:val="center"/>
          </w:tcPr>
          <w:p w14:paraId="1B580239">
            <w:pPr>
              <w:keepNext w:val="0"/>
              <w:keepLines w:val="0"/>
              <w:pageBreakBefore w:val="0"/>
              <w:kinsoku/>
              <w:wordWrap/>
              <w:overflowPunct/>
              <w:topLinePunct w:val="0"/>
              <w:bidi w:val="0"/>
              <w:adjustRightInd/>
              <w:snapToGrid/>
              <w:spacing w:line="240" w:lineRule="auto"/>
              <w:jc w:val="center"/>
              <w:rPr>
                <w:rFonts w:hint="eastAsia" w:ascii="宋体" w:hAnsi="宋体"/>
                <w:color w:val="000000"/>
                <w:szCs w:val="21"/>
              </w:rPr>
            </w:pPr>
            <w:r>
              <w:rPr>
                <w:rFonts w:hint="eastAsia" w:ascii="宋体" w:hAnsi="宋体"/>
                <w:color w:val="000000"/>
                <w:szCs w:val="21"/>
              </w:rPr>
              <w:t>不开源</w:t>
            </w:r>
          </w:p>
        </w:tc>
      </w:tr>
      <w:tr w14:paraId="14C7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0BA69150">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395" w:type="dxa"/>
            <w:vAlign w:val="center"/>
          </w:tcPr>
          <w:p w14:paraId="102172D2">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szCs w:val="21"/>
              </w:rPr>
              <w:t>5G工程实践及通信原理仿真平台</w:t>
            </w:r>
          </w:p>
        </w:tc>
        <w:tc>
          <w:tcPr>
            <w:tcW w:w="5535" w:type="dxa"/>
            <w:vAlign w:val="center"/>
          </w:tcPr>
          <w:p w14:paraId="6E3EA413">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1、平台符合 B/S 架构支持多种浏览器访问、免安装；（需提供功能截图） 系统响应时延：3s以内；</w:t>
            </w:r>
          </w:p>
          <w:p w14:paraId="7429592C">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 xml:space="preserve">2、采用分布式架构处理，同时支持本地部署和云端部署两种方式，至少满足100台PC机同时访问并行试验，响应时延3s以内； </w:t>
            </w:r>
          </w:p>
          <w:p w14:paraId="714ED8F4">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 xml:space="preserve">3、支持CDN服务分布式资源分发与访问； </w:t>
            </w:r>
          </w:p>
          <w:p w14:paraId="78E5FF19">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4、平台模拟基站操作开通及维护运维，满足5G工程实践教学；支持常规基站开通、数据配置、故障验证及基站业务验证；</w:t>
            </w:r>
          </w:p>
          <w:p w14:paraId="2A786908">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 xml:space="preserve">5、匹配行业运营商（如中国移动、中国电信、中国联通等）5G 网络工程建设、开通调试、操作维护规范要求；（需提供功能截图或有效证明材料） </w:t>
            </w:r>
          </w:p>
          <w:p w14:paraId="686210A0">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6、支持 3GPP 协议要求的 5G 无线网络技术相关控制面与业务面的流程、5G 接入信令流程；（需提供功能截图）</w:t>
            </w:r>
          </w:p>
          <w:p w14:paraId="1524B739">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 xml:space="preserve">7、支持3GPP协议要求及智能网联汽车标准协议应用场景仿真实验；（需提供功能截图） </w:t>
            </w:r>
          </w:p>
          <w:p w14:paraId="3C95CB2B">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 xml:space="preserve">8、支持实验任务创建下发、任务，学生/班组管理，及实验报告评阅；（需提供功能截图） </w:t>
            </w:r>
          </w:p>
          <w:p w14:paraId="599FF2B5">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9、支持与教学型基站软硬结合</w:t>
            </w:r>
          </w:p>
          <w:p w14:paraId="682EEB88">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10、平台须满足国家版权局对计算机软件著作权登记要求；（需提供软件著作权证书复印件）</w:t>
            </w:r>
          </w:p>
          <w:p w14:paraId="6B0EC22E">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hint="eastAsia" w:ascii="宋体" w:hAnsi="宋体"/>
                <w:color w:val="000000"/>
                <w:szCs w:val="21"/>
              </w:rPr>
              <w:t>11、不限制并发数，至少能够同时容纳200人使用</w:t>
            </w:r>
          </w:p>
        </w:tc>
        <w:tc>
          <w:tcPr>
            <w:tcW w:w="1268" w:type="dxa"/>
            <w:vAlign w:val="center"/>
          </w:tcPr>
          <w:p w14:paraId="303C4FA1">
            <w:pPr>
              <w:keepNext w:val="0"/>
              <w:keepLines w:val="0"/>
              <w:pageBreakBefore w:val="0"/>
              <w:kinsoku/>
              <w:wordWrap/>
              <w:overflowPunct/>
              <w:topLinePunct w:val="0"/>
              <w:bidi w:val="0"/>
              <w:adjustRightInd/>
              <w:snapToGrid/>
              <w:spacing w:line="240" w:lineRule="auto"/>
              <w:jc w:val="center"/>
              <w:rPr>
                <w:rFonts w:hint="eastAsia" w:ascii="宋体" w:hAnsi="宋体"/>
                <w:color w:val="000000"/>
                <w:szCs w:val="21"/>
              </w:rPr>
            </w:pPr>
            <w:r>
              <w:rPr>
                <w:rFonts w:hint="eastAsia" w:ascii="宋体" w:hAnsi="宋体"/>
                <w:color w:val="000000"/>
                <w:szCs w:val="21"/>
              </w:rPr>
              <w:t>不开源</w:t>
            </w:r>
          </w:p>
        </w:tc>
      </w:tr>
      <w:tr w14:paraId="0DFA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7B5F3608">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3</w:t>
            </w:r>
          </w:p>
        </w:tc>
        <w:tc>
          <w:tcPr>
            <w:tcW w:w="1395" w:type="dxa"/>
            <w:vAlign w:val="center"/>
          </w:tcPr>
          <w:p w14:paraId="0EA8D59C">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color w:val="0D0D0D"/>
                <w:szCs w:val="21"/>
              </w:rPr>
              <w:t>软件无线电创新平台</w:t>
            </w:r>
          </w:p>
        </w:tc>
        <w:tc>
          <w:tcPr>
            <w:tcW w:w="5535" w:type="dxa"/>
            <w:vAlign w:val="center"/>
          </w:tcPr>
          <w:p w14:paraId="7E176928">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1、硬件技术要求</w:t>
            </w:r>
          </w:p>
          <w:p w14:paraId="632A192B">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（1）应采用通用软件无线电架构，包含数字基带单元、射频</w:t>
            </w:r>
            <w:r>
              <w:rPr>
                <w:rFonts w:hint="eastAsia" w:ascii="宋体" w:hAnsi="宋体"/>
                <w:color w:val="000000"/>
                <w:szCs w:val="21"/>
              </w:rPr>
              <w:t>前端</w:t>
            </w:r>
            <w:r>
              <w:rPr>
                <w:rFonts w:ascii="宋体" w:hAnsi="宋体"/>
                <w:color w:val="000000"/>
                <w:szCs w:val="21"/>
              </w:rPr>
              <w:t>单元等组成部分。</w:t>
            </w:r>
          </w:p>
          <w:p w14:paraId="6114675A">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（2）数字基带单元应包括FPGA、DSP、ARM、CPLD、DAC、ADC等，其中FPGA性能不低于EP4CGX75，其LAB/CLB 数不低于4620个，逻辑单元数不低于73920个，收发器数不少于8个，数据速率不低于3.125Gb/s，最大工作频率不低于200MHz；DSP性能不低于TMS320VC5416；ARM性能不低于LPC2138；CPLD性能不低于MAX5M40；DAC不低于双通道10位，40 MSPS；ADC不低于双通道10位，20MSPS。</w:t>
            </w:r>
          </w:p>
          <w:p w14:paraId="66CDD4A4">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（3）射频</w:t>
            </w:r>
            <w:r>
              <w:rPr>
                <w:rFonts w:hint="eastAsia" w:ascii="宋体" w:hAnsi="宋体"/>
                <w:color w:val="000000"/>
                <w:szCs w:val="21"/>
              </w:rPr>
              <w:t>前端</w:t>
            </w:r>
            <w:r>
              <w:rPr>
                <w:rFonts w:ascii="宋体" w:hAnsi="宋体"/>
                <w:color w:val="000000"/>
                <w:szCs w:val="21"/>
              </w:rPr>
              <w:t>单元频段不低于70MHz-6GHz，支持2发2收，信道带宽不低于56MHz，最大发射功率不低于16dBm，最大接收功率不低于-10dBm。</w:t>
            </w:r>
          </w:p>
          <w:p w14:paraId="01637578">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（4）应开放底层硬件接口，提供不少于1个千兆网口、1个USB接口、2个GPIO 接口、5个JTAG下载接口、4个射频接口、9个BNC接口。</w:t>
            </w:r>
          </w:p>
          <w:p w14:paraId="5F9E208F">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2、软件技术要求</w:t>
            </w:r>
          </w:p>
          <w:p w14:paraId="5053EEFB">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（1）应提供软件无线电创新平台对应的集成开发软件，该软件以三级目录树形式直观呈现支持的实验课程及对应的实验项目，能够直接调用 MATLAB编写程序，具有二次开发功能，包含射频参数配置功能，能够配置发射频率、接收频率、发射衰减、接收增益等参数，另外还包括网络参数配置、FPGA参数配置、硬件ID配置等功能。</w:t>
            </w:r>
            <w:r>
              <w:rPr>
                <w:rFonts w:hint="eastAsia" w:ascii="宋体" w:hAnsi="宋体"/>
                <w:color w:val="000000"/>
                <w:szCs w:val="21"/>
              </w:rPr>
              <w:t>投标文件中应提供集成开发软件的界面截图，包括三级目录树、</w:t>
            </w:r>
            <w:r>
              <w:rPr>
                <w:rFonts w:ascii="宋体" w:hAnsi="宋体"/>
                <w:color w:val="000000"/>
                <w:szCs w:val="21"/>
              </w:rPr>
              <w:t>射频参数配置</w:t>
            </w:r>
            <w:r>
              <w:rPr>
                <w:rFonts w:hint="eastAsia" w:ascii="宋体" w:hAnsi="宋体"/>
                <w:color w:val="000000"/>
                <w:szCs w:val="21"/>
              </w:rPr>
              <w:t>、</w:t>
            </w:r>
            <w:r>
              <w:rPr>
                <w:rFonts w:ascii="宋体" w:hAnsi="宋体"/>
                <w:color w:val="000000"/>
                <w:szCs w:val="21"/>
              </w:rPr>
              <w:t>网络参数配置、FPGA参数配置、硬件ID配置</w:t>
            </w:r>
            <w:r>
              <w:rPr>
                <w:rFonts w:hint="eastAsia" w:ascii="宋体" w:hAnsi="宋体"/>
                <w:color w:val="000000"/>
                <w:szCs w:val="21"/>
              </w:rPr>
              <w:t>等内容。</w:t>
            </w:r>
          </w:p>
          <w:p w14:paraId="3F04011B">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3、核心功能要求</w:t>
            </w:r>
          </w:p>
          <w:p w14:paraId="17AB2E32">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（1）连接示波器功能要求：平台能直接连接示波器，集成开发软件上运行的各种数据和波形，能够通过软件无线电创新平台输出到示波器上显示。</w:t>
            </w:r>
          </w:p>
          <w:p w14:paraId="1D17EF49">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2）小基站功能要求：平台应实现一个移动通信小基站的功能，符合3GPP协议规范的终端都能在该平台中注册、拨打电话、收发短信，且能实现多部手机入网与通信。应提供基站管理软件，可以对基站的基本参数、功率参数、定时器参数等进行设置。投标</w:t>
            </w:r>
            <w:r>
              <w:rPr>
                <w:rFonts w:hint="eastAsia" w:ascii="宋体" w:hAnsi="宋体"/>
                <w:color w:val="000000"/>
                <w:szCs w:val="21"/>
              </w:rPr>
              <w:t>文件中应提供</w:t>
            </w:r>
            <w:r>
              <w:rPr>
                <w:rFonts w:ascii="宋体" w:hAnsi="宋体"/>
                <w:color w:val="000000"/>
                <w:szCs w:val="21"/>
              </w:rPr>
              <w:t>基站管理软件</w:t>
            </w:r>
            <w:r>
              <w:rPr>
                <w:rFonts w:hint="eastAsia" w:ascii="宋体" w:hAnsi="宋体"/>
                <w:color w:val="000000"/>
                <w:szCs w:val="21"/>
              </w:rPr>
              <w:t>的界面截图。</w:t>
            </w:r>
          </w:p>
          <w:p w14:paraId="3A43830F">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4、课程实验要求</w:t>
            </w:r>
          </w:p>
          <w:p w14:paraId="4B07B17D">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1）通信原理实验：实验应分层分级，包括基础性实验、设计性实验和综合性实验三大类，其中基础性实验严格参照主流理论教材，以框图形式展示实验实现的详细过程，在集成开发软件中呈现的实验数量不少于32个；设计性实验全部采用FPGA实现，包括原理验证、系统设计、详细设计三个部分，实验数量不少于25个。</w:t>
            </w:r>
          </w:p>
          <w:p w14:paraId="0130D67D">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（2）</w:t>
            </w:r>
            <w:r>
              <w:rPr>
                <w:rFonts w:hint="eastAsia" w:ascii="宋体" w:hAnsi="宋体"/>
                <w:color w:val="000000"/>
                <w:szCs w:val="21"/>
              </w:rPr>
              <w:t>无线</w:t>
            </w:r>
            <w:r>
              <w:rPr>
                <w:rFonts w:ascii="宋体" w:hAnsi="宋体"/>
                <w:color w:val="000000"/>
                <w:szCs w:val="21"/>
              </w:rPr>
              <w:t>通信</w:t>
            </w:r>
            <w:r>
              <w:rPr>
                <w:rFonts w:hint="eastAsia" w:ascii="宋体" w:hAnsi="宋体"/>
                <w:color w:val="000000"/>
                <w:szCs w:val="21"/>
              </w:rPr>
              <w:t>类</w:t>
            </w:r>
            <w:r>
              <w:rPr>
                <w:rFonts w:ascii="宋体" w:hAnsi="宋体"/>
                <w:color w:val="000000"/>
                <w:szCs w:val="21"/>
              </w:rPr>
              <w:t>实验：提供FPGA的设计性实验，内容包括MSK、GMSK、8PSK、16QAM、64QAM、卷积编码、维特比译码、交织、解交织等。</w:t>
            </w:r>
          </w:p>
          <w:p w14:paraId="49A1373A">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（3）数字信号处理</w:t>
            </w:r>
            <w:r>
              <w:rPr>
                <w:rFonts w:hint="eastAsia" w:ascii="宋体" w:hAnsi="宋体"/>
                <w:color w:val="000000"/>
                <w:szCs w:val="21"/>
              </w:rPr>
              <w:t>类</w:t>
            </w:r>
            <w:r>
              <w:rPr>
                <w:rFonts w:ascii="宋体" w:hAnsi="宋体"/>
                <w:color w:val="000000"/>
                <w:szCs w:val="21"/>
              </w:rPr>
              <w:t>实验：提供不少于10个基础性实验案例；</w:t>
            </w:r>
            <w:r>
              <w:rPr>
                <w:rFonts w:hint="eastAsia" w:ascii="宋体" w:hAnsi="宋体"/>
                <w:color w:val="000000"/>
                <w:szCs w:val="21"/>
              </w:rPr>
              <w:t>不少于</w:t>
            </w:r>
            <w:r>
              <w:rPr>
                <w:rFonts w:ascii="宋体" w:hAnsi="宋体"/>
                <w:color w:val="000000"/>
                <w:szCs w:val="21"/>
              </w:rPr>
              <w:t>8个基于硬件DSP实现的设计性实验案例；提供软硬结合的综合性实验，包括实时语音信号的采集和分析系统设计和基于动态时间规整的语音识别系统设计等。投标</w:t>
            </w:r>
            <w:r>
              <w:rPr>
                <w:rFonts w:hint="eastAsia" w:ascii="宋体" w:hAnsi="宋体"/>
                <w:color w:val="000000"/>
                <w:szCs w:val="21"/>
              </w:rPr>
              <w:t>文件中应提供基于DSP硬件完成数字信号处理实验的截图，包括通过DSP仿真器连接目标设备和电脑的图片，CCS软件真实运行程序的截图。</w:t>
            </w:r>
          </w:p>
          <w:p w14:paraId="48D0804A">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5、综合设计要求</w:t>
            </w:r>
          </w:p>
          <w:p w14:paraId="01D6827C">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（1）应提供无线通信系统、通信信号处理和移动通信协议等方向的综合设计案例，数量不少于40个。</w:t>
            </w:r>
          </w:p>
          <w:p w14:paraId="1D587C3B">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（2）无线通信方向的综合设计应包括FM数字接收机设计、FM数字发射机设计、QPSK</w:t>
            </w:r>
            <w:r>
              <w:rPr>
                <w:rFonts w:hint="eastAsia" w:ascii="宋体" w:hAnsi="宋体"/>
                <w:color w:val="000000"/>
                <w:szCs w:val="21"/>
              </w:rPr>
              <w:t>音频传输</w:t>
            </w:r>
            <w:r>
              <w:rPr>
                <w:rFonts w:ascii="宋体" w:hAnsi="宋体"/>
                <w:color w:val="000000"/>
                <w:szCs w:val="21"/>
              </w:rPr>
              <w:t>系统设计、无线电监测系统设计、无线信号录制与回放系统设计、模拟调制信号自动识别系统设计、数字调制信号自动识别系统设计、CDMA通信系统发射机设计、CDMA通信系统接收机设计、GSM物理层链路协议实现、OFDM通信系统设计、数字语音基带传输系统设计、LTE物理层协议</w:t>
            </w:r>
            <w:r>
              <w:rPr>
                <w:rFonts w:hint="eastAsia" w:ascii="宋体" w:hAnsi="宋体"/>
                <w:color w:val="000000"/>
                <w:szCs w:val="21"/>
              </w:rPr>
              <w:t>设计</w:t>
            </w:r>
            <w:r>
              <w:rPr>
                <w:rFonts w:ascii="宋体" w:hAnsi="宋体"/>
                <w:color w:val="000000"/>
                <w:szCs w:val="21"/>
              </w:rPr>
              <w:t>、FSK数字调制通信系统设计、ASK数字调制通信系统设计、GSM基站与终端全双工实时语音传输系统、QPSK视频传输系统设计</w:t>
            </w:r>
            <w:r>
              <w:rPr>
                <w:rFonts w:hint="eastAsia" w:ascii="宋体" w:hAnsi="宋体"/>
                <w:color w:val="000000"/>
                <w:szCs w:val="21"/>
              </w:rPr>
              <w:t>、5G物理层协议设计</w:t>
            </w:r>
            <w:r>
              <w:rPr>
                <w:rFonts w:ascii="宋体" w:hAnsi="宋体"/>
                <w:color w:val="000000"/>
                <w:szCs w:val="21"/>
              </w:rPr>
              <w:t>等项目，每个项目都有详细的基于LabVIEW开发的软件界面。投标</w:t>
            </w:r>
            <w:r>
              <w:rPr>
                <w:rFonts w:hint="eastAsia" w:ascii="宋体" w:hAnsi="宋体"/>
                <w:color w:val="000000"/>
                <w:szCs w:val="21"/>
              </w:rPr>
              <w:t>文件中应提供</w:t>
            </w:r>
            <w:r>
              <w:rPr>
                <w:rFonts w:ascii="宋体" w:hAnsi="宋体"/>
                <w:color w:val="000000"/>
                <w:szCs w:val="21"/>
              </w:rPr>
              <w:t>LTE物理层协议</w:t>
            </w:r>
            <w:r>
              <w:rPr>
                <w:rFonts w:hint="eastAsia" w:ascii="宋体" w:hAnsi="宋体"/>
                <w:color w:val="000000"/>
                <w:szCs w:val="21"/>
              </w:rPr>
              <w:t>设计、5G物理层协议设计的</w:t>
            </w:r>
            <w:r>
              <w:rPr>
                <w:rFonts w:ascii="宋体" w:hAnsi="宋体"/>
                <w:color w:val="000000"/>
                <w:szCs w:val="21"/>
              </w:rPr>
              <w:t>LabVIEW软件界面</w:t>
            </w:r>
            <w:r>
              <w:rPr>
                <w:rFonts w:hint="eastAsia" w:ascii="宋体" w:hAnsi="宋体"/>
                <w:color w:val="000000"/>
                <w:szCs w:val="21"/>
              </w:rPr>
              <w:t>截图。</w:t>
            </w:r>
          </w:p>
          <w:p w14:paraId="66A2AB37">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（3）综合设计应提供详细的项目任务书和设计指南，设计合理的实验方式，提供完整的程序框架，由学生完成指定的子程序，通过联调、软硬结合等方式构建通信系统。</w:t>
            </w:r>
          </w:p>
          <w:p w14:paraId="098F4E47">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6、通信协议算法要求</w:t>
            </w:r>
          </w:p>
          <w:p w14:paraId="59BA9F7B">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1）GSM物理层协议算法：实现3GPP协议定义的GSM移动终端物理层协议仿真算法，如CRC、卷积编译码、Viterbi编译码、比特重排、交织解交织、GMSK调制解调等；能将发射和接收的过程串接起来，构成全流程算法，并能看到算法运行的数据、基带I/Q波形和星座图；算法可以直接采集麦克风音源或者导入音源文件，按照发射部分的算法流程运行，最后调制到真实商用的GSM频点上发射，接收机接收以后，按照接收部分的算法流程运行，最终还原成真实的语音信息。该算法应集成到软件无线电创新平台的集成开发软件中，打开后可以看到算法实现的完整流程图，可以以仿真和真实方式运行，运行后可在流程图中动态显示运行的是哪个算法，并显示发射流程和接收流程的各种过程数据，包括比特流、波形图、频谱图、星座图等。</w:t>
            </w:r>
          </w:p>
          <w:p w14:paraId="67851988">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2）Link11战术数据链物理层协议算法：按照MIL-STD-188-203-1A设计实现，采用CLEW多载波工作体制；应采用模块化设计，发射模块包括：生成数据帧、汉明编码、比特组帧（生成相位基准帧、生成起始标识帧、生成结束标识帧、生成PU地址帧）、串并转换、π/4-DQPSK调制映射、上采样、脉冲成型、多载波调制、加报头。接收模块包括：符号同步、多载波解调、匹配滤波、下采样、π/4-DQPSK解调制映射、并串转换、比特解帧、汉明译码；应设置多个可配置参数，包含：帧类型（支持网控站报告帧、网控站呼叫帧、前哨战应答帧）、PU地址、数据帧数、信噪比、滤波器滚降因子、数据帧类型、运行方式（仿真系统、真实系统）等；支持仿真运行、真实系统的自发自收和真实系统的一发多收；实验结果以图像可视化方式显示，显示内容包括：发送端星座图、发送信号、接收信号、发送信号频谱、接收信号频谱、相关峰、接收端星座图，通过发送和接收信号频谱可观察多载波频率分布。</w:t>
            </w:r>
          </w:p>
          <w:p w14:paraId="78316D2A">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3）LTE物理层协议算法：提供3GPP协议定义的LTE物理层协议仿真算法，包括信源生成、加CRC与解CRC、码块分割、Turbo编译码、速率匹配与解速率匹配、码块级联与解码块级联、交织与解交织、加扰与解扰、64QAM调制解调、资源映射与解资源映射、信道均衡、生成导频、OFDM符号生成等内容；能将发射和接收的过程串接起来，运行全流程算法，并能看到算法运行的数据、基带I/Q波形和星座图，可以通过真实的LTE频点进行发射和接收；能观察发射端的星座图映射以及通过无线信道后接收端的星座图映射，以及LTE（20M带宽）系统的频谱和实际占用带宽情况；集成开发软件能运行单个LTE算法，并具有算法运行结果判别的功能，学生可以修改、优化算法，软件能判别运行结果的对错。该算法应集成到软件无线电创新平台的集成开发软件中，打开后可以看到算法实现的完整流程图，可以以仿真和真实方式运行，运行后可在流程图中动态显示运行的是哪个算法，并显示发射流程和接收流程的各种过程数据，包括比特流、波形图、频谱图、星座图等。投标</w:t>
            </w:r>
            <w:r>
              <w:rPr>
                <w:rFonts w:hint="eastAsia" w:ascii="宋体" w:hAnsi="宋体"/>
                <w:color w:val="000000"/>
                <w:szCs w:val="21"/>
              </w:rPr>
              <w:t>文件中应提供</w:t>
            </w:r>
            <w:r>
              <w:rPr>
                <w:rFonts w:ascii="宋体" w:hAnsi="宋体"/>
                <w:color w:val="000000"/>
                <w:szCs w:val="21"/>
              </w:rPr>
              <w:t>集成开发软件里的LTE</w:t>
            </w:r>
            <w:r>
              <w:rPr>
                <w:rFonts w:hint="eastAsia" w:ascii="宋体" w:hAnsi="宋体"/>
                <w:color w:val="000000"/>
                <w:szCs w:val="21"/>
              </w:rPr>
              <w:t>物理层协议</w:t>
            </w:r>
            <w:r>
              <w:rPr>
                <w:rFonts w:ascii="宋体" w:hAnsi="宋体"/>
                <w:color w:val="000000"/>
                <w:szCs w:val="21"/>
              </w:rPr>
              <w:t>全流程算法</w:t>
            </w:r>
            <w:r>
              <w:rPr>
                <w:rFonts w:hint="eastAsia" w:ascii="宋体" w:hAnsi="宋体"/>
                <w:color w:val="000000"/>
                <w:szCs w:val="21"/>
              </w:rPr>
              <w:t>的界面截图</w:t>
            </w:r>
            <w:r>
              <w:rPr>
                <w:rFonts w:ascii="宋体" w:hAnsi="宋体"/>
                <w:color w:val="000000"/>
                <w:szCs w:val="21"/>
              </w:rPr>
              <w:t>，</w:t>
            </w:r>
            <w:r>
              <w:rPr>
                <w:rFonts w:hint="eastAsia" w:ascii="宋体" w:hAnsi="宋体"/>
                <w:color w:val="000000"/>
                <w:szCs w:val="21"/>
              </w:rPr>
              <w:t>应包括参数配置、整体流程图、运行过程数据等内容，数量不少于3张。</w:t>
            </w:r>
          </w:p>
          <w:p w14:paraId="1B35E0A4">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4）NB-IoT物理层协议算法：提供3GPP协议定义的NB-IoT物理层协议仿真算法，包括信源生成、加CRC与解CRC、Turbo编译码、速率匹配与解速率匹配、信道交织与解信道交织、加扰与解扰、QPSK调制解调、资源映射与解资源映射、信道估计、信道均衡、MRC合并、生成DRRS、OFDM符号生成等内容；应提供上述单个仿真算法以及串接起来的全流程算法。该算法应集成到软件无线电创新平台的集成开发软件中，打开后可以看到算法实现的完整流程图，运行后可在流程图中动态显示运行的是哪个算法，并显示发射流程和接收流程的各种过程数据，包括比特流、波形图、频谱图、星座图等。</w:t>
            </w:r>
          </w:p>
          <w:p w14:paraId="7CF7BB22">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（5）5G物理层协议算法：提供3GPP 38系列协议定义的5G物理层协议仿真算法，包括信源生成、加CRC与解CRC、码块分割与解码块分割、LDPC编码与译码、速率匹配与解速率匹配、码块级联与解码块级联、加扰与解扰、256QAM调制与解调、层映射、传输预编码、预编码、生成DMRS、资源映射、OFDM基带信号生成等内容；应提供上述单个仿真算法以及串接起来的全流程算法。该算法应集成到软件无线电创新平台的集成开发软件中，打开后可以看到算法实现的完整流程图，运行后可在流程图中动态显示运行的是哪个算法，并显示发射流程和接收流程的各种过程数据，包括比特流、波形图、频谱图、星座图等。投标</w:t>
            </w:r>
            <w:r>
              <w:rPr>
                <w:rFonts w:hint="eastAsia" w:ascii="宋体" w:hAnsi="宋体"/>
                <w:color w:val="000000"/>
                <w:szCs w:val="21"/>
              </w:rPr>
              <w:t>文件中应提供</w:t>
            </w:r>
            <w:r>
              <w:rPr>
                <w:rFonts w:ascii="宋体" w:hAnsi="宋体"/>
                <w:color w:val="000000"/>
                <w:szCs w:val="21"/>
              </w:rPr>
              <w:t>集成开发软件里的</w:t>
            </w:r>
            <w:r>
              <w:rPr>
                <w:rFonts w:hint="eastAsia" w:ascii="宋体" w:hAnsi="宋体"/>
                <w:color w:val="000000"/>
                <w:szCs w:val="21"/>
              </w:rPr>
              <w:t>5G物理层协议</w:t>
            </w:r>
            <w:r>
              <w:rPr>
                <w:rFonts w:ascii="宋体" w:hAnsi="宋体"/>
                <w:color w:val="000000"/>
                <w:szCs w:val="21"/>
              </w:rPr>
              <w:t>全流程算法</w:t>
            </w:r>
            <w:r>
              <w:rPr>
                <w:rFonts w:hint="eastAsia" w:ascii="宋体" w:hAnsi="宋体"/>
                <w:color w:val="000000"/>
                <w:szCs w:val="21"/>
              </w:rPr>
              <w:t>的界面截图</w:t>
            </w:r>
            <w:r>
              <w:rPr>
                <w:rFonts w:ascii="宋体" w:hAnsi="宋体"/>
                <w:color w:val="000000"/>
                <w:szCs w:val="21"/>
              </w:rPr>
              <w:t>，</w:t>
            </w:r>
            <w:r>
              <w:rPr>
                <w:rFonts w:hint="eastAsia" w:ascii="宋体" w:hAnsi="宋体"/>
                <w:color w:val="000000"/>
                <w:szCs w:val="21"/>
              </w:rPr>
              <w:t>应包括参数配置、整体流程图、运行过程数据等内容，数量不少于3张。</w:t>
            </w:r>
          </w:p>
          <w:p w14:paraId="46D2F319">
            <w:pPr>
              <w:keepNext w:val="0"/>
              <w:keepLines w:val="0"/>
              <w:pageBreakBefore w:val="0"/>
              <w:kinsoku/>
              <w:wordWrap/>
              <w:overflowPunct/>
              <w:topLinePunct w:val="0"/>
              <w:bidi w:val="0"/>
              <w:adjustRightInd/>
              <w:snapToGrid/>
              <w:spacing w:line="240" w:lineRule="auto"/>
              <w:rPr>
                <w:rFonts w:hint="eastAsia" w:ascii="宋体" w:hAnsi="宋体"/>
                <w:color w:val="000000"/>
                <w:szCs w:val="21"/>
              </w:rPr>
            </w:pPr>
            <w:r>
              <w:rPr>
                <w:rFonts w:ascii="宋体" w:hAnsi="宋体"/>
                <w:color w:val="000000"/>
                <w:szCs w:val="21"/>
              </w:rPr>
              <w:t>7、投标人中标后应根据采购方的需要，提供一台软件无线电创新平台平台样机，到其指定地点对技术参数进行逐条测试，如果出现任何不符合参数要求的情况，采购人有权拒收该产品，并上报政府采购管理部门。如果产品符合要求，则将该产品留存在学校，作为将来交付时的参考。</w:t>
            </w:r>
          </w:p>
        </w:tc>
        <w:tc>
          <w:tcPr>
            <w:tcW w:w="1268" w:type="dxa"/>
            <w:vAlign w:val="center"/>
          </w:tcPr>
          <w:p w14:paraId="25C4E7B7">
            <w:pPr>
              <w:keepNext w:val="0"/>
              <w:keepLines w:val="0"/>
              <w:pageBreakBefore w:val="0"/>
              <w:kinsoku/>
              <w:wordWrap/>
              <w:overflowPunct/>
              <w:topLinePunct w:val="0"/>
              <w:bidi w:val="0"/>
              <w:adjustRightInd/>
              <w:snapToGrid/>
              <w:spacing w:line="240" w:lineRule="auto"/>
              <w:jc w:val="center"/>
              <w:rPr>
                <w:rFonts w:hint="eastAsia" w:ascii="宋体" w:hAnsi="宋体"/>
                <w:color w:val="000000"/>
                <w:szCs w:val="21"/>
              </w:rPr>
            </w:pPr>
            <w:r>
              <w:rPr>
                <w:rFonts w:hint="eastAsia" w:ascii="宋体" w:hAnsi="宋体"/>
                <w:color w:val="000000"/>
                <w:szCs w:val="21"/>
              </w:rPr>
              <w:t>可开源</w:t>
            </w:r>
          </w:p>
        </w:tc>
      </w:tr>
      <w:tr w14:paraId="56A1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50689DCD">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4</w:t>
            </w:r>
          </w:p>
        </w:tc>
        <w:tc>
          <w:tcPr>
            <w:tcW w:w="1395" w:type="dxa"/>
            <w:vAlign w:val="center"/>
          </w:tcPr>
          <w:p w14:paraId="587A904C">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color w:val="0D0D0D"/>
                <w:szCs w:val="21"/>
              </w:rPr>
              <w:t>人工智能通信技术实验开发平台</w:t>
            </w:r>
          </w:p>
        </w:tc>
        <w:tc>
          <w:tcPr>
            <w:tcW w:w="5535" w:type="dxa"/>
            <w:vAlign w:val="center"/>
          </w:tcPr>
          <w:p w14:paraId="70FE90BE">
            <w:pPr>
              <w:keepNext w:val="0"/>
              <w:keepLines w:val="0"/>
              <w:pageBreakBefore w:val="0"/>
              <w:kinsoku/>
              <w:wordWrap/>
              <w:overflowPunct/>
              <w:topLinePunct w:val="0"/>
              <w:bidi w:val="0"/>
              <w:adjustRightInd/>
              <w:snapToGrid/>
              <w:spacing w:line="240" w:lineRule="auto"/>
              <w:jc w:val="left"/>
              <w:rPr>
                <w:rFonts w:hint="eastAsia" w:ascii="宋体" w:hAnsi="宋体"/>
                <w:color w:val="000000"/>
                <w:szCs w:val="21"/>
              </w:rPr>
            </w:pPr>
            <w:r>
              <w:rPr>
                <w:rFonts w:hint="eastAsia" w:ascii="宋体" w:hAnsi="宋体"/>
                <w:color w:val="000000"/>
                <w:szCs w:val="21"/>
              </w:rPr>
              <w:t>1、硬件技术要求</w:t>
            </w:r>
          </w:p>
          <w:p w14:paraId="3806B682">
            <w:pPr>
              <w:keepNext w:val="0"/>
              <w:keepLines w:val="0"/>
              <w:pageBreakBefore w:val="0"/>
              <w:kinsoku/>
              <w:wordWrap/>
              <w:overflowPunct/>
              <w:topLinePunct w:val="0"/>
              <w:bidi w:val="0"/>
              <w:adjustRightInd/>
              <w:snapToGrid/>
              <w:spacing w:line="240" w:lineRule="auto"/>
              <w:jc w:val="left"/>
              <w:rPr>
                <w:rFonts w:hint="eastAsia" w:ascii="宋体" w:hAnsi="宋体"/>
                <w:color w:val="000000"/>
                <w:szCs w:val="21"/>
              </w:rPr>
            </w:pPr>
            <w:r>
              <w:rPr>
                <w:rFonts w:hint="eastAsia" w:ascii="宋体" w:hAnsi="宋体"/>
                <w:color w:val="000000"/>
                <w:szCs w:val="21"/>
              </w:rPr>
              <w:t>（1）应采用全国产AI处理器，算力不低于8TOPS，CPU不低于TAISHANV200M@1.0GHz*4，NPU不低于DaVinciV300@0. 5GHz*1，内存不低于8GB，SPI Flash 不低于32MB，eMMC 不低于64GB。</w:t>
            </w:r>
          </w:p>
          <w:p w14:paraId="74945F95">
            <w:pPr>
              <w:keepNext w:val="0"/>
              <w:keepLines w:val="0"/>
              <w:pageBreakBefore w:val="0"/>
              <w:kinsoku/>
              <w:wordWrap/>
              <w:overflowPunct/>
              <w:topLinePunct w:val="0"/>
              <w:bidi w:val="0"/>
              <w:adjustRightInd/>
              <w:snapToGrid/>
              <w:spacing w:line="240" w:lineRule="auto"/>
              <w:jc w:val="left"/>
              <w:rPr>
                <w:rFonts w:hint="eastAsia" w:ascii="宋体" w:hAnsi="宋体"/>
                <w:color w:val="000000"/>
                <w:szCs w:val="21"/>
              </w:rPr>
            </w:pPr>
            <w:r>
              <w:rPr>
                <w:rFonts w:hint="eastAsia" w:ascii="宋体" w:hAnsi="宋体"/>
                <w:color w:val="000000"/>
                <w:szCs w:val="21"/>
              </w:rPr>
              <w:t>（2）应提供蓝牙和WiFi二合一功能。</w:t>
            </w:r>
          </w:p>
          <w:p w14:paraId="7B23C678">
            <w:pPr>
              <w:keepNext w:val="0"/>
              <w:keepLines w:val="0"/>
              <w:pageBreakBefore w:val="0"/>
              <w:kinsoku/>
              <w:wordWrap/>
              <w:overflowPunct/>
              <w:topLinePunct w:val="0"/>
              <w:bidi w:val="0"/>
              <w:adjustRightInd/>
              <w:snapToGrid/>
              <w:spacing w:line="240" w:lineRule="auto"/>
              <w:jc w:val="left"/>
              <w:rPr>
                <w:rFonts w:hint="eastAsia" w:ascii="宋体" w:hAnsi="宋体"/>
                <w:color w:val="000000"/>
                <w:szCs w:val="21"/>
              </w:rPr>
            </w:pPr>
            <w:r>
              <w:rPr>
                <w:rFonts w:hint="eastAsia" w:ascii="宋体" w:hAnsi="宋体"/>
                <w:color w:val="000000"/>
                <w:szCs w:val="21"/>
              </w:rPr>
              <w:t>2、实验案例要求</w:t>
            </w:r>
          </w:p>
          <w:p w14:paraId="2681E6CD">
            <w:pPr>
              <w:keepNext w:val="0"/>
              <w:keepLines w:val="0"/>
              <w:pageBreakBefore w:val="0"/>
              <w:kinsoku/>
              <w:wordWrap/>
              <w:overflowPunct/>
              <w:topLinePunct w:val="0"/>
              <w:bidi w:val="0"/>
              <w:adjustRightInd/>
              <w:snapToGrid/>
              <w:spacing w:line="240" w:lineRule="auto"/>
              <w:jc w:val="left"/>
              <w:rPr>
                <w:rFonts w:hint="eastAsia" w:ascii="宋体" w:hAnsi="宋体"/>
                <w:color w:val="000000"/>
                <w:szCs w:val="21"/>
              </w:rPr>
            </w:pPr>
            <w:r>
              <w:rPr>
                <w:rFonts w:hint="eastAsia" w:ascii="宋体" w:hAnsi="宋体"/>
                <w:color w:val="000000"/>
                <w:szCs w:val="21"/>
              </w:rPr>
              <w:t>（1）应包括基于MindSpore和Pytorch框架的模型训练和转化、智能通信技术、人工智能应用等三类实验案例，总数量不少于20个。</w:t>
            </w:r>
          </w:p>
          <w:p w14:paraId="60800E07">
            <w:pPr>
              <w:keepNext w:val="0"/>
              <w:keepLines w:val="0"/>
              <w:pageBreakBefore w:val="0"/>
              <w:kinsoku/>
              <w:wordWrap/>
              <w:overflowPunct/>
              <w:topLinePunct w:val="0"/>
              <w:bidi w:val="0"/>
              <w:adjustRightInd/>
              <w:snapToGrid/>
              <w:spacing w:line="240" w:lineRule="auto"/>
              <w:jc w:val="left"/>
              <w:rPr>
                <w:rFonts w:hint="eastAsia" w:ascii="宋体" w:hAnsi="宋体"/>
                <w:color w:val="000000"/>
                <w:szCs w:val="21"/>
              </w:rPr>
            </w:pPr>
            <w:r>
              <w:rPr>
                <w:rFonts w:hint="eastAsia" w:ascii="宋体" w:hAnsi="宋体"/>
                <w:color w:val="000000"/>
                <w:szCs w:val="21"/>
              </w:rPr>
              <w:t>（2）基于MindSpore和Pytorch框架的模型训练和转化应包括基于MindSpore的yolo人脸模型训练、基于Pytorch的mobilenet_v2路标识别模型训练、Yolo的人脸CPKT模型转换成昇腾AI处理器的om模型、Mobilenet_v2的路标pt模型转换成昇腾AI处理器的om模型等实验项目。</w:t>
            </w:r>
          </w:p>
          <w:p w14:paraId="2BA70E4B">
            <w:pPr>
              <w:keepNext w:val="0"/>
              <w:keepLines w:val="0"/>
              <w:pageBreakBefore w:val="0"/>
              <w:kinsoku/>
              <w:wordWrap/>
              <w:overflowPunct/>
              <w:topLinePunct w:val="0"/>
              <w:bidi w:val="0"/>
              <w:adjustRightInd/>
              <w:snapToGrid/>
              <w:spacing w:line="240" w:lineRule="auto"/>
              <w:jc w:val="left"/>
              <w:rPr>
                <w:rFonts w:hint="eastAsia" w:ascii="宋体" w:hAnsi="宋体"/>
                <w:color w:val="000000"/>
                <w:szCs w:val="21"/>
              </w:rPr>
            </w:pPr>
            <w:r>
              <w:rPr>
                <w:rFonts w:hint="eastAsia" w:ascii="宋体" w:hAnsi="宋体"/>
                <w:color w:val="000000"/>
                <w:szCs w:val="21"/>
              </w:rPr>
              <w:t>（3）智能通信技术应包括基于深度神经网络的自动调制方式分类、基于全连接神经网络的LDPC码译码、基于VGGNet神经网络的LDPC码率盲识别、基于DNN神经网络的OFDM系统的信道估计、基于深度学习的Turbo自动编码器设计、基于深度学习的MIMO系统的预编码设计、基于神经网络的MIMO系统的信道状态信息CSI反馈设计、基于深度学习的波束选择BF的应用等综合设计项目。</w:t>
            </w:r>
          </w:p>
          <w:p w14:paraId="42DC0E5D">
            <w:pPr>
              <w:keepNext w:val="0"/>
              <w:keepLines w:val="0"/>
              <w:pageBreakBefore w:val="0"/>
              <w:kinsoku/>
              <w:wordWrap/>
              <w:overflowPunct/>
              <w:topLinePunct w:val="0"/>
              <w:bidi w:val="0"/>
              <w:adjustRightInd/>
              <w:snapToGrid/>
              <w:spacing w:line="240" w:lineRule="auto"/>
              <w:jc w:val="left"/>
              <w:rPr>
                <w:rFonts w:hint="eastAsia" w:ascii="宋体" w:hAnsi="宋体"/>
                <w:color w:val="000000"/>
                <w:szCs w:val="21"/>
              </w:rPr>
            </w:pPr>
            <w:r>
              <w:rPr>
                <w:rFonts w:hint="eastAsia" w:ascii="宋体" w:hAnsi="宋体"/>
                <w:color w:val="000000"/>
                <w:szCs w:val="21"/>
              </w:rPr>
              <w:t>（4）人工智能应用应包括基于MindX SDK的自动调制方式分类应用开发、基于MindX SDK的LDPC码译码应用开发、基于MindX SDK的LDPC码率盲识别应用开发、基于MindX SDK的OFDM系统的信道估计应用开发、基于MindX SDK的Turbo自动编码器应用开发、基于MindX SDK的人脸识别应用开发、基于MindX SDK的路标分类应用开发等综合设计项目。投标现场应提供演示视频，演示基于深度神经网络的自动调制方式分类，能够通过网口实时采集本次招标的软件无线电创新平台的真实射频IQ数据，将IQ数据实时给本设备的神经网络模型，能够正确的识别出不少于7种调制类型（应包括模拟调制和数字调制），置信度不低于0.7。</w:t>
            </w:r>
          </w:p>
        </w:tc>
        <w:tc>
          <w:tcPr>
            <w:tcW w:w="1268" w:type="dxa"/>
            <w:vAlign w:val="center"/>
          </w:tcPr>
          <w:p w14:paraId="0F1FEBB1">
            <w:pPr>
              <w:keepNext w:val="0"/>
              <w:keepLines w:val="0"/>
              <w:pageBreakBefore w:val="0"/>
              <w:kinsoku/>
              <w:wordWrap/>
              <w:overflowPunct/>
              <w:topLinePunct w:val="0"/>
              <w:bidi w:val="0"/>
              <w:adjustRightInd/>
              <w:snapToGrid/>
              <w:spacing w:line="240" w:lineRule="auto"/>
              <w:jc w:val="center"/>
              <w:rPr>
                <w:rFonts w:hint="eastAsia" w:ascii="宋体" w:hAnsi="宋体"/>
                <w:color w:val="000000"/>
                <w:szCs w:val="21"/>
              </w:rPr>
            </w:pPr>
            <w:r>
              <w:rPr>
                <w:rFonts w:hint="eastAsia" w:ascii="宋体" w:hAnsi="宋体"/>
                <w:color w:val="000000"/>
                <w:szCs w:val="21"/>
              </w:rPr>
              <w:t>可开源</w:t>
            </w:r>
          </w:p>
        </w:tc>
      </w:tr>
    </w:tbl>
    <w:p w14:paraId="1D77FFD2">
      <w:pPr>
        <w:keepNext w:val="0"/>
        <w:keepLines w:val="0"/>
        <w:pageBreakBefore w:val="0"/>
        <w:widowControl/>
        <w:kinsoku/>
        <w:wordWrap/>
        <w:overflowPunct/>
        <w:topLinePunct w:val="0"/>
        <w:bidi w:val="0"/>
        <w:adjustRightInd/>
        <w:snapToGrid/>
        <w:spacing w:line="560" w:lineRule="exact"/>
        <w:jc w:val="left"/>
        <w:rPr>
          <w:rFonts w:hint="eastAsia" w:ascii="黑体" w:hAnsi="黑体" w:eastAsia="黑体" w:cs="黑体"/>
          <w:sz w:val="32"/>
          <w:szCs w:val="32"/>
        </w:rPr>
      </w:pPr>
    </w:p>
    <w:p w14:paraId="109CD9E6">
      <w:pPr>
        <w:keepNext w:val="0"/>
        <w:keepLines w:val="0"/>
        <w:pageBreakBefore w:val="0"/>
        <w:widowControl/>
        <w:kinsoku/>
        <w:wordWrap/>
        <w:overflowPunct/>
        <w:topLinePunct w:val="0"/>
        <w:bidi w:val="0"/>
        <w:adjustRightInd/>
        <w:snapToGrid/>
        <w:spacing w:line="560" w:lineRule="exact"/>
        <w:jc w:val="left"/>
        <w:rPr>
          <w:rFonts w:hint="eastAsia" w:ascii="黑体" w:hAnsi="黑体" w:eastAsia="黑体" w:cs="黑体"/>
          <w:sz w:val="32"/>
          <w:szCs w:val="32"/>
        </w:rPr>
      </w:pPr>
      <w:r>
        <w:rPr>
          <w:rFonts w:hint="eastAsia" w:ascii="黑体" w:hAnsi="黑体" w:eastAsia="黑体" w:cs="黑体"/>
          <w:sz w:val="32"/>
          <w:szCs w:val="32"/>
        </w:rPr>
        <w:t>四、开出实验项目</w:t>
      </w:r>
    </w:p>
    <w:tbl>
      <w:tblPr>
        <w:tblStyle w:val="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68"/>
        <w:gridCol w:w="5440"/>
        <w:gridCol w:w="1113"/>
      </w:tblGrid>
      <w:tr w14:paraId="21CE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14:paraId="6C600A5E">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568" w:type="dxa"/>
            <w:vAlign w:val="center"/>
          </w:tcPr>
          <w:p w14:paraId="3B7AB2BB">
            <w:pPr>
              <w:keepNext w:val="0"/>
              <w:keepLines w:val="0"/>
              <w:pageBreakBefore w:val="0"/>
              <w:kinsoku/>
              <w:wordWrap/>
              <w:overflowPunct/>
              <w:topLinePunct w:val="0"/>
              <w:bidi w:val="0"/>
              <w:adjustRightInd/>
              <w:snapToGrid/>
              <w:spacing w:line="240" w:lineRule="auto"/>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课程名称</w:t>
            </w:r>
          </w:p>
        </w:tc>
        <w:tc>
          <w:tcPr>
            <w:tcW w:w="5440" w:type="dxa"/>
            <w:vAlign w:val="center"/>
          </w:tcPr>
          <w:p w14:paraId="1D01CE5D">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实验实训项目名称</w:t>
            </w:r>
          </w:p>
        </w:tc>
        <w:tc>
          <w:tcPr>
            <w:tcW w:w="1113" w:type="dxa"/>
            <w:vAlign w:val="center"/>
          </w:tcPr>
          <w:p w14:paraId="6D279010">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类别</w:t>
            </w:r>
          </w:p>
        </w:tc>
      </w:tr>
      <w:tr w14:paraId="26DE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26BA64E">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568" w:type="dxa"/>
            <w:vAlign w:val="center"/>
          </w:tcPr>
          <w:p w14:paraId="46D7AD3E">
            <w:pPr>
              <w:keepNext w:val="0"/>
              <w:keepLines w:val="0"/>
              <w:pageBreakBefore w:val="0"/>
              <w:kinsoku/>
              <w:wordWrap/>
              <w:overflowPunct/>
              <w:topLinePunct w:val="0"/>
              <w:bidi w:val="0"/>
              <w:adjustRightInd/>
              <w:snapToGrid/>
              <w:spacing w:line="240" w:lineRule="auto"/>
              <w:jc w:val="center"/>
              <w:rPr>
                <w:rFonts w:hint="eastAsia" w:ascii="宋体" w:hAnsi="宋体" w:cs="宋体" w:eastAsiaTheme="minorEastAsia"/>
                <w:sz w:val="24"/>
                <w:lang w:eastAsia="zh-CN"/>
              </w:rPr>
            </w:pPr>
            <w:r>
              <w:rPr>
                <w:rFonts w:hint="eastAsia"/>
              </w:rPr>
              <w:t>无线网络优化</w:t>
            </w:r>
          </w:p>
        </w:tc>
        <w:tc>
          <w:tcPr>
            <w:tcW w:w="5440" w:type="dxa"/>
            <w:vAlign w:val="center"/>
          </w:tcPr>
          <w:p w14:paraId="0BAA1F20">
            <w:pPr>
              <w:keepNext w:val="0"/>
              <w:keepLines w:val="0"/>
              <w:pageBreakBefore w:val="0"/>
              <w:kinsoku/>
              <w:wordWrap/>
              <w:overflowPunct/>
              <w:topLinePunct w:val="0"/>
              <w:bidi w:val="0"/>
              <w:adjustRightInd/>
              <w:snapToGrid/>
              <w:spacing w:line="240" w:lineRule="auto"/>
              <w:jc w:val="both"/>
              <w:rPr>
                <w:rFonts w:hint="eastAsia" w:ascii="宋体" w:hAnsi="宋体" w:cs="宋体" w:eastAsiaTheme="minorEastAsia"/>
                <w:sz w:val="24"/>
                <w:lang w:eastAsia="zh-CN"/>
              </w:rPr>
            </w:pPr>
            <w:r>
              <w:rPr>
                <w:rFonts w:hint="eastAsia"/>
              </w:rPr>
              <w:t>5G系统开通维护信息规划、5G核心网系统与5G核心网软件调测、5G基带处理单元版本升级及参数初始化、5G基站正常模式网络规划、5G基站级联模式网络规划、5G基站负荷分担及主备模式网络规划、5G射频单元版本升级及5G基站小区参数配置、5G基站射频链路开通、5G基站传输链路开通、5G终端配置及接入测试、5G业务服务器调测、5G基站端到端业务测试、5G基站远程维护链路建立、基站协议接口与链路建立</w:t>
            </w:r>
          </w:p>
        </w:tc>
        <w:tc>
          <w:tcPr>
            <w:tcW w:w="1113" w:type="dxa"/>
            <w:vAlign w:val="center"/>
          </w:tcPr>
          <w:p w14:paraId="4B4B3854">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ascii="宋体" w:hAnsi="宋体" w:eastAsia="宋体" w:cs="宋体"/>
                <w:sz w:val="24"/>
              </w:rPr>
              <w:t>基础性</w:t>
            </w:r>
          </w:p>
        </w:tc>
      </w:tr>
      <w:tr w14:paraId="43B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E9651C0">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568" w:type="dxa"/>
            <w:vAlign w:val="center"/>
          </w:tcPr>
          <w:p w14:paraId="2F7A0021">
            <w:pPr>
              <w:keepNext w:val="0"/>
              <w:keepLines w:val="0"/>
              <w:pageBreakBefore w:val="0"/>
              <w:kinsoku/>
              <w:wordWrap/>
              <w:overflowPunct/>
              <w:topLinePunct w:val="0"/>
              <w:bidi w:val="0"/>
              <w:adjustRightInd/>
              <w:snapToGrid/>
              <w:spacing w:line="240" w:lineRule="auto"/>
              <w:jc w:val="center"/>
              <w:rPr>
                <w:rFonts w:hint="eastAsia" w:ascii="宋体" w:hAnsi="宋体" w:cs="宋体"/>
                <w:sz w:val="24"/>
              </w:rPr>
            </w:pPr>
            <w:r>
              <w:rPr>
                <w:rFonts w:hint="eastAsia"/>
                <w:szCs w:val="21"/>
              </w:rPr>
              <w:t>通信原理</w:t>
            </w:r>
          </w:p>
        </w:tc>
        <w:tc>
          <w:tcPr>
            <w:tcW w:w="5440" w:type="dxa"/>
            <w:vAlign w:val="center"/>
          </w:tcPr>
          <w:p w14:paraId="2136E585">
            <w:pPr>
              <w:keepNext w:val="0"/>
              <w:keepLines w:val="0"/>
              <w:pageBreakBefore w:val="0"/>
              <w:kinsoku/>
              <w:wordWrap/>
              <w:overflowPunct/>
              <w:topLinePunct w:val="0"/>
              <w:bidi w:val="0"/>
              <w:adjustRightInd/>
              <w:snapToGrid/>
              <w:spacing w:line="240" w:lineRule="auto"/>
              <w:jc w:val="both"/>
              <w:rPr>
                <w:rFonts w:hint="eastAsia" w:ascii="宋体" w:hAnsi="宋体" w:cs="宋体"/>
                <w:sz w:val="24"/>
              </w:rPr>
            </w:pPr>
            <w:r>
              <w:rPr>
                <w:rFonts w:hint="eastAsia"/>
                <w:szCs w:val="21"/>
              </w:rPr>
              <w:t>模拟信号源实验、m序列产生及特性分析实验、抽样定理实验、均匀量化PCM编码、均匀量化PCM编译码实验、非均匀量化PCM编译码实验、语音信号PCM编译码实验、AM调制解调实验、DSB调制解调实验、SSB调制解调实验、FM调制解调实验、模拟调制性能对比实验、BPH码型变换实验、CMI码型变换实验、AMI码型变换实验、5B6B编译码实验、8B10B编译码实验、HDB3编译码实验、数字基带信号频谱分析实验、ASK调制解调实验、FSK调制解调实验、BPSK调制解调实验、2DPSK调制解调实验、QPSK调制解调实验、数字调制误码率与信噪比关系实验、波形成型实验、汉明码编译码实验、循环码编译码实验、卷积码编译码实验、CRC校验实验、位同步实验</w:t>
            </w:r>
          </w:p>
        </w:tc>
        <w:tc>
          <w:tcPr>
            <w:tcW w:w="1113" w:type="dxa"/>
            <w:vAlign w:val="center"/>
          </w:tcPr>
          <w:p w14:paraId="62C82698">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ascii="宋体" w:hAnsi="宋体" w:eastAsia="宋体" w:cs="宋体"/>
                <w:sz w:val="24"/>
              </w:rPr>
              <w:t>基础性</w:t>
            </w:r>
          </w:p>
        </w:tc>
      </w:tr>
      <w:tr w14:paraId="5361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5CED5DBA">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1568" w:type="dxa"/>
            <w:vAlign w:val="center"/>
          </w:tcPr>
          <w:p w14:paraId="1A5C8A82">
            <w:pPr>
              <w:keepNext w:val="0"/>
              <w:keepLines w:val="0"/>
              <w:pageBreakBefore w:val="0"/>
              <w:kinsoku/>
              <w:wordWrap/>
              <w:overflowPunct/>
              <w:topLinePunct w:val="0"/>
              <w:bidi w:val="0"/>
              <w:adjustRightInd/>
              <w:snapToGrid/>
              <w:spacing w:line="240" w:lineRule="auto"/>
              <w:jc w:val="center"/>
              <w:rPr>
                <w:rFonts w:hint="eastAsia" w:ascii="宋体" w:hAnsi="宋体" w:cs="宋体"/>
                <w:sz w:val="24"/>
              </w:rPr>
            </w:pPr>
            <w:r>
              <w:rPr>
                <w:rFonts w:hint="eastAsia"/>
                <w:szCs w:val="21"/>
              </w:rPr>
              <w:t>无线通信原理</w:t>
            </w:r>
          </w:p>
        </w:tc>
        <w:tc>
          <w:tcPr>
            <w:tcW w:w="5440" w:type="dxa"/>
            <w:vAlign w:val="center"/>
          </w:tcPr>
          <w:p w14:paraId="06CE0A57">
            <w:pPr>
              <w:keepNext w:val="0"/>
              <w:keepLines w:val="0"/>
              <w:pageBreakBefore w:val="0"/>
              <w:kinsoku/>
              <w:wordWrap/>
              <w:overflowPunct/>
              <w:topLinePunct w:val="0"/>
              <w:bidi w:val="0"/>
              <w:adjustRightInd/>
              <w:snapToGrid/>
              <w:spacing w:line="240" w:lineRule="auto"/>
              <w:jc w:val="both"/>
              <w:rPr>
                <w:rFonts w:hint="eastAsia" w:ascii="宋体" w:hAnsi="宋体" w:cs="宋体"/>
                <w:sz w:val="24"/>
              </w:rPr>
            </w:pPr>
            <w:r>
              <w:rPr>
                <w:rFonts w:hint="eastAsia"/>
                <w:szCs w:val="21"/>
              </w:rPr>
              <w:t>GMSK调制解调实验、16QAM调制解调实验、64QAM调制解调实验、2/3/4/5G架构演进、5G基带处理单元版本升级及参数初始化、5G小区搜索物理层过程实验、5G物理资源、5G信令测试实验</w:t>
            </w:r>
          </w:p>
        </w:tc>
        <w:tc>
          <w:tcPr>
            <w:tcW w:w="1113" w:type="dxa"/>
            <w:vAlign w:val="center"/>
          </w:tcPr>
          <w:p w14:paraId="1EAA6E3A">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ascii="宋体" w:hAnsi="宋体" w:eastAsia="宋体" w:cs="宋体"/>
                <w:sz w:val="24"/>
              </w:rPr>
              <w:t>基础性</w:t>
            </w:r>
          </w:p>
        </w:tc>
      </w:tr>
      <w:tr w14:paraId="079A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501C396E">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568" w:type="dxa"/>
            <w:vAlign w:val="center"/>
          </w:tcPr>
          <w:p w14:paraId="4B7B4C17">
            <w:pPr>
              <w:keepNext w:val="0"/>
              <w:keepLines w:val="0"/>
              <w:pageBreakBefore w:val="0"/>
              <w:kinsoku/>
              <w:wordWrap/>
              <w:overflowPunct/>
              <w:topLinePunct w:val="0"/>
              <w:bidi w:val="0"/>
              <w:adjustRightInd/>
              <w:snapToGrid/>
              <w:spacing w:line="240" w:lineRule="auto"/>
              <w:jc w:val="center"/>
              <w:rPr>
                <w:rFonts w:hint="eastAsia" w:ascii="宋体" w:hAnsi="宋体" w:cs="宋体" w:eastAsiaTheme="minorEastAsia"/>
                <w:sz w:val="24"/>
                <w:lang w:val="en-US" w:eastAsia="zh-CN"/>
              </w:rPr>
            </w:pPr>
            <w:r>
              <w:rPr>
                <w:rFonts w:hint="eastAsia"/>
                <w:szCs w:val="21"/>
              </w:rPr>
              <w:t>现代交换技术</w:t>
            </w:r>
          </w:p>
        </w:tc>
        <w:tc>
          <w:tcPr>
            <w:tcW w:w="5440" w:type="dxa"/>
            <w:vAlign w:val="center"/>
          </w:tcPr>
          <w:p w14:paraId="170AAC52">
            <w:pPr>
              <w:rPr>
                <w:rFonts w:hint="eastAsia" w:ascii="宋体" w:hAnsi="宋体" w:cs="宋体" w:eastAsiaTheme="minorEastAsia"/>
                <w:sz w:val="24"/>
                <w:lang w:val="en-US" w:eastAsia="zh-CN"/>
              </w:rPr>
            </w:pPr>
            <w:r>
              <w:rPr>
                <w:rFonts w:hint="eastAsia"/>
                <w:szCs w:val="21"/>
              </w:rPr>
              <w:t>用户接口模块实验、用户信令的产生与观测实验、双音多频接收与检测实验、平台交换方式与状态显示、用户话路PCM编译码实验</w:t>
            </w:r>
          </w:p>
        </w:tc>
        <w:tc>
          <w:tcPr>
            <w:tcW w:w="1113" w:type="dxa"/>
            <w:vAlign w:val="center"/>
          </w:tcPr>
          <w:p w14:paraId="0ECAD314">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ascii="宋体" w:hAnsi="宋体" w:eastAsia="宋体" w:cs="宋体"/>
                <w:sz w:val="24"/>
              </w:rPr>
              <w:t>基础性</w:t>
            </w:r>
          </w:p>
        </w:tc>
      </w:tr>
      <w:tr w14:paraId="1A96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9E7425C">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568" w:type="dxa"/>
            <w:vAlign w:val="center"/>
          </w:tcPr>
          <w:p w14:paraId="45CE4C24">
            <w:pPr>
              <w:keepNext w:val="0"/>
              <w:keepLines w:val="0"/>
              <w:pageBreakBefore w:val="0"/>
              <w:kinsoku/>
              <w:wordWrap/>
              <w:overflowPunct/>
              <w:topLinePunct w:val="0"/>
              <w:bidi w:val="0"/>
              <w:adjustRightInd/>
              <w:snapToGrid/>
              <w:spacing w:line="240" w:lineRule="auto"/>
              <w:jc w:val="center"/>
              <w:rPr>
                <w:rFonts w:hint="eastAsia" w:ascii="宋体" w:hAnsi="宋体" w:cs="宋体" w:eastAsiaTheme="minorEastAsia"/>
                <w:sz w:val="24"/>
                <w:lang w:eastAsia="zh-CN"/>
              </w:rPr>
            </w:pPr>
            <w:r>
              <w:rPr>
                <w:rFonts w:hint="eastAsia"/>
              </w:rPr>
              <w:t>现代通信技术</w:t>
            </w:r>
            <w:r>
              <w:rPr>
                <w:rFonts w:hint="eastAsia"/>
                <w:lang w:eastAsia="zh-CN"/>
              </w:rPr>
              <w:t>、</w:t>
            </w:r>
            <w:r>
              <w:rPr>
                <w:rFonts w:hint="eastAsia"/>
                <w:szCs w:val="21"/>
              </w:rPr>
              <w:t>移动通信课程设计</w:t>
            </w:r>
          </w:p>
        </w:tc>
        <w:tc>
          <w:tcPr>
            <w:tcW w:w="5440" w:type="dxa"/>
            <w:vAlign w:val="center"/>
          </w:tcPr>
          <w:p w14:paraId="159ADF68">
            <w:pPr>
              <w:keepNext w:val="0"/>
              <w:keepLines w:val="0"/>
              <w:pageBreakBefore w:val="0"/>
              <w:kinsoku/>
              <w:wordWrap/>
              <w:overflowPunct/>
              <w:topLinePunct w:val="0"/>
              <w:bidi w:val="0"/>
              <w:adjustRightInd/>
              <w:snapToGrid/>
              <w:spacing w:line="240" w:lineRule="auto"/>
              <w:jc w:val="both"/>
              <w:rPr>
                <w:rFonts w:hint="eastAsia" w:ascii="宋体" w:hAnsi="宋体" w:cs="宋体"/>
                <w:sz w:val="24"/>
              </w:rPr>
            </w:pPr>
            <w:r>
              <w:rPr>
                <w:rFonts w:hint="eastAsia"/>
                <w:szCs w:val="21"/>
              </w:rPr>
              <w:t>5G移动网络运维与管理、移动通信工程施工与概预算、通信设备与单元功能配置、移动通信基站（5G）选址与勘探、</w:t>
            </w:r>
            <w:r>
              <w:rPr>
                <w:rFonts w:hint="eastAsia"/>
              </w:rPr>
              <w:t>基站设备小区配置与开通、控制面与用户接入鉴权、会话管理与用户面流程分析、5G组网与部署实验、5G核心网用户信息管理</w:t>
            </w:r>
          </w:p>
        </w:tc>
        <w:tc>
          <w:tcPr>
            <w:tcW w:w="1113" w:type="dxa"/>
            <w:vAlign w:val="center"/>
          </w:tcPr>
          <w:p w14:paraId="3B2B61B6">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ascii="宋体" w:hAnsi="宋体" w:eastAsia="宋体" w:cs="宋体"/>
                <w:sz w:val="24"/>
              </w:rPr>
              <w:t>设计性</w:t>
            </w:r>
          </w:p>
        </w:tc>
      </w:tr>
      <w:tr w14:paraId="2C15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6BA08A13">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568" w:type="dxa"/>
            <w:vAlign w:val="center"/>
          </w:tcPr>
          <w:p w14:paraId="78077856">
            <w:pPr>
              <w:keepNext w:val="0"/>
              <w:keepLines w:val="0"/>
              <w:pageBreakBefore w:val="0"/>
              <w:kinsoku/>
              <w:wordWrap/>
              <w:overflowPunct/>
              <w:topLinePunct w:val="0"/>
              <w:bidi w:val="0"/>
              <w:adjustRightInd/>
              <w:snapToGrid/>
              <w:spacing w:line="240" w:lineRule="auto"/>
              <w:jc w:val="center"/>
              <w:rPr>
                <w:rFonts w:hint="eastAsia" w:ascii="宋体" w:hAnsi="宋体" w:cs="宋体"/>
                <w:sz w:val="24"/>
              </w:rPr>
            </w:pPr>
            <w:r>
              <w:rPr>
                <w:rFonts w:hint="eastAsia"/>
              </w:rPr>
              <w:t>无线网络优化</w:t>
            </w:r>
          </w:p>
        </w:tc>
        <w:tc>
          <w:tcPr>
            <w:tcW w:w="5440" w:type="dxa"/>
            <w:shd w:val="clear" w:color="auto" w:fill="auto"/>
            <w:vAlign w:val="center"/>
          </w:tcPr>
          <w:p w14:paraId="46DE2A69">
            <w:pPr>
              <w:keepNext w:val="0"/>
              <w:keepLines w:val="0"/>
              <w:pageBreakBefore w:val="0"/>
              <w:kinsoku/>
              <w:wordWrap/>
              <w:overflowPunct/>
              <w:topLinePunct w:val="0"/>
              <w:bidi w:val="0"/>
              <w:adjustRightInd/>
              <w:snapToGrid/>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Cs w:val="21"/>
              </w:rPr>
              <w:t>5G+创新应用实验</w:t>
            </w:r>
          </w:p>
        </w:tc>
        <w:tc>
          <w:tcPr>
            <w:tcW w:w="1113" w:type="dxa"/>
            <w:shd w:val="clear" w:color="auto" w:fill="auto"/>
            <w:vAlign w:val="center"/>
          </w:tcPr>
          <w:p w14:paraId="448283EF">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创新性</w:t>
            </w:r>
          </w:p>
        </w:tc>
      </w:tr>
      <w:tr w14:paraId="485C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828E54C">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1568" w:type="dxa"/>
            <w:vAlign w:val="center"/>
          </w:tcPr>
          <w:p w14:paraId="1C91B45C">
            <w:pPr>
              <w:keepNext w:val="0"/>
              <w:keepLines w:val="0"/>
              <w:pageBreakBefore w:val="0"/>
              <w:kinsoku/>
              <w:wordWrap/>
              <w:overflowPunct/>
              <w:topLinePunct w:val="0"/>
              <w:bidi w:val="0"/>
              <w:adjustRightInd/>
              <w:snapToGrid/>
              <w:spacing w:line="240" w:lineRule="auto"/>
              <w:jc w:val="center"/>
              <w:rPr>
                <w:rFonts w:hint="eastAsia" w:ascii="宋体" w:hAnsi="宋体" w:cs="宋体"/>
                <w:sz w:val="24"/>
              </w:rPr>
            </w:pPr>
            <w:r>
              <w:rPr>
                <w:rFonts w:hint="eastAsia"/>
                <w:szCs w:val="21"/>
              </w:rPr>
              <w:t>通信系统综合设计、通信技术课程设计</w:t>
            </w:r>
          </w:p>
        </w:tc>
        <w:tc>
          <w:tcPr>
            <w:tcW w:w="5440" w:type="dxa"/>
            <w:shd w:val="clear" w:color="auto" w:fill="auto"/>
            <w:vAlign w:val="center"/>
          </w:tcPr>
          <w:p w14:paraId="74049D39">
            <w:pPr>
              <w:keepNext w:val="0"/>
              <w:keepLines w:val="0"/>
              <w:pageBreakBefore w:val="0"/>
              <w:kinsoku/>
              <w:wordWrap/>
              <w:overflowPunct/>
              <w:topLinePunct w:val="0"/>
              <w:bidi w:val="0"/>
              <w:adjustRightInd/>
              <w:snapToGrid/>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Cs w:val="21"/>
              </w:rPr>
              <w:t>运营商机房机柜及5G基站设备安装规范与工程实践、5G AAU及天线安装规范与工程实践、机房走线与接地安装规范与工程实践、GPS天线安装规范及防雷箱/馈线窗/GPS避雷器安装调试、室内设备网络综合布线、</w:t>
            </w:r>
            <w:r>
              <w:t>基于DNN神经网络的OFDM系统的信道估计</w:t>
            </w:r>
            <w:r>
              <w:rPr>
                <w:rFonts w:hint="eastAsia"/>
              </w:rPr>
              <w:t>、</w:t>
            </w:r>
            <w:r>
              <w:t>基于深度学习的MIMO系统的预编码设计</w:t>
            </w:r>
          </w:p>
        </w:tc>
        <w:tc>
          <w:tcPr>
            <w:tcW w:w="1113" w:type="dxa"/>
            <w:shd w:val="clear" w:color="auto" w:fill="auto"/>
            <w:vAlign w:val="center"/>
          </w:tcPr>
          <w:p w14:paraId="5DE87F7B">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综合性</w:t>
            </w:r>
          </w:p>
        </w:tc>
      </w:tr>
    </w:tbl>
    <w:p w14:paraId="6ADF9048">
      <w:pPr>
        <w:keepNext w:val="0"/>
        <w:keepLines w:val="0"/>
        <w:pageBreakBefore w:val="0"/>
        <w:kinsoku/>
        <w:wordWrap/>
        <w:overflowPunct/>
        <w:topLinePunct w:val="0"/>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五、主要学科竞赛</w:t>
      </w:r>
    </w:p>
    <w:tbl>
      <w:tblPr>
        <w:tblStyle w:val="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5415"/>
        <w:gridCol w:w="1455"/>
      </w:tblGrid>
      <w:tr w14:paraId="5C3B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7" w:type="dxa"/>
            <w:vAlign w:val="center"/>
          </w:tcPr>
          <w:p w14:paraId="1DAF1BC9">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主办单位</w:t>
            </w:r>
          </w:p>
        </w:tc>
        <w:tc>
          <w:tcPr>
            <w:tcW w:w="5415" w:type="dxa"/>
            <w:vAlign w:val="center"/>
          </w:tcPr>
          <w:p w14:paraId="61C9AAC9">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竞赛名称</w:t>
            </w:r>
          </w:p>
        </w:tc>
        <w:tc>
          <w:tcPr>
            <w:tcW w:w="1455" w:type="dxa"/>
            <w:vAlign w:val="center"/>
          </w:tcPr>
          <w:p w14:paraId="10A9C6C6">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4"/>
              </w:rPr>
            </w:pPr>
            <w:r>
              <w:rPr>
                <w:rFonts w:hint="eastAsia" w:ascii="宋体" w:hAnsi="宋体" w:eastAsia="宋体" w:cs="宋体"/>
                <w:b/>
                <w:bCs/>
                <w:sz w:val="24"/>
              </w:rPr>
              <w:t>等级</w:t>
            </w:r>
          </w:p>
        </w:tc>
      </w:tr>
      <w:tr w14:paraId="44C5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7" w:type="dxa"/>
            <w:vAlign w:val="center"/>
          </w:tcPr>
          <w:p w14:paraId="6DEC7439">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ascii="宋体" w:hAnsi="宋体" w:eastAsia="宋体" w:cs="宋体"/>
                <w:sz w:val="24"/>
              </w:rPr>
              <w:t>工业和信息化部</w:t>
            </w:r>
          </w:p>
        </w:tc>
        <w:tc>
          <w:tcPr>
            <w:tcW w:w="5415" w:type="dxa"/>
            <w:vAlign w:val="center"/>
          </w:tcPr>
          <w:p w14:paraId="23339224">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ascii="宋体" w:hAnsi="宋体" w:eastAsia="宋体" w:cs="宋体"/>
                <w:sz w:val="24"/>
              </w:rPr>
              <w:t>“大唐杯”全国大学生新一代信息通信技术大赛</w:t>
            </w:r>
          </w:p>
        </w:tc>
        <w:tc>
          <w:tcPr>
            <w:tcW w:w="1455" w:type="dxa"/>
            <w:vAlign w:val="center"/>
          </w:tcPr>
          <w:p w14:paraId="0C7A240E">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4"/>
              </w:rPr>
            </w:pPr>
            <w:r>
              <w:rPr>
                <w:rFonts w:hint="eastAsia" w:ascii="宋体" w:hAnsi="宋体" w:eastAsia="宋体" w:cs="宋体"/>
                <w:sz w:val="24"/>
              </w:rPr>
              <w:t>B类</w:t>
            </w:r>
          </w:p>
        </w:tc>
      </w:tr>
    </w:tbl>
    <w:p w14:paraId="5938CB33">
      <w:pPr>
        <w:pStyle w:val="2"/>
        <w:keepNext w:val="0"/>
        <w:keepLines w:val="0"/>
        <w:pageBreakBefore w:val="0"/>
        <w:kinsoku/>
        <w:wordWrap/>
        <w:overflowPunct/>
        <w:topLinePunct w:val="0"/>
        <w:bidi w:val="0"/>
        <w:adjustRightInd/>
        <w:snapToGrid/>
        <w:spacing w:line="560" w:lineRule="exact"/>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bidi="ar-SA"/>
        </w:rPr>
        <w:t>六、厂家技术人员和师资培训服务</w:t>
      </w:r>
    </w:p>
    <w:p w14:paraId="72D85783">
      <w:pPr>
        <w:pStyle w:val="2"/>
        <w:keepNext w:val="0"/>
        <w:keepLines w:val="0"/>
        <w:pageBreakBefore w:val="0"/>
        <w:kinsoku/>
        <w:wordWrap/>
        <w:overflowPunct/>
        <w:topLinePunct w:val="0"/>
        <w:bidi w:val="0"/>
        <w:adjustRightInd/>
        <w:snapToGrid/>
        <w:spacing w:line="560" w:lineRule="exact"/>
        <w:ind w:firstLine="640" w:firstLineChars="200"/>
        <w:rPr>
          <w:rFonts w:hint="eastAsia" w:ascii="仿宋_GB2312" w:eastAsia="仿宋_GB2312"/>
          <w:kern w:val="2"/>
          <w:sz w:val="32"/>
          <w:szCs w:val="32"/>
          <w:lang w:val="en-US" w:bidi="ar-SA"/>
        </w:rPr>
      </w:pPr>
      <w:r>
        <w:rPr>
          <w:rFonts w:hint="eastAsia" w:ascii="仿宋_GB2312" w:eastAsia="仿宋_GB2312"/>
          <w:kern w:val="2"/>
          <w:sz w:val="32"/>
          <w:szCs w:val="32"/>
          <w:lang w:val="en-US" w:bidi="ar-SA"/>
        </w:rPr>
        <w:t>1.需要企业派遣2名技术人员，驻校培训项目交付设备2天。</w:t>
      </w:r>
    </w:p>
    <w:p w14:paraId="70A243AF">
      <w:pPr>
        <w:pStyle w:val="2"/>
        <w:keepNext w:val="0"/>
        <w:keepLines w:val="0"/>
        <w:pageBreakBefore w:val="0"/>
        <w:kinsoku/>
        <w:wordWrap/>
        <w:overflowPunct/>
        <w:topLinePunct w:val="0"/>
        <w:bidi w:val="0"/>
        <w:adjustRightInd/>
        <w:snapToGrid/>
        <w:spacing w:line="560" w:lineRule="exact"/>
        <w:ind w:firstLine="640" w:firstLineChars="200"/>
        <w:rPr>
          <w:rFonts w:hint="eastAsia" w:ascii="仿宋_GB2312" w:eastAsia="仿宋_GB2312"/>
          <w:kern w:val="2"/>
          <w:sz w:val="32"/>
          <w:szCs w:val="32"/>
          <w:lang w:val="en-US" w:bidi="ar-SA"/>
        </w:rPr>
      </w:pPr>
      <w:r>
        <w:rPr>
          <w:rFonts w:hint="eastAsia" w:ascii="仿宋_GB2312" w:eastAsia="仿宋_GB2312"/>
          <w:kern w:val="2"/>
          <w:sz w:val="32"/>
          <w:szCs w:val="32"/>
          <w:lang w:val="en-US" w:bidi="ar-SA"/>
        </w:rPr>
        <w:t>2.师资培训要提供所有设备的说明书、设备使用手册等材料内容，使用教师能够流畅使用本次采购设备。</w:t>
      </w:r>
    </w:p>
    <w:p w14:paraId="1C0B7D99">
      <w:pPr>
        <w:pStyle w:val="2"/>
        <w:keepNext w:val="0"/>
        <w:keepLines w:val="0"/>
        <w:pageBreakBefore w:val="0"/>
        <w:kinsoku/>
        <w:wordWrap/>
        <w:overflowPunct/>
        <w:topLinePunct w:val="0"/>
        <w:bidi w:val="0"/>
        <w:adjustRightInd/>
        <w:snapToGrid/>
        <w:spacing w:line="560" w:lineRule="exact"/>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bidi="ar-SA"/>
        </w:rPr>
        <w:t>七、售后服务</w:t>
      </w:r>
    </w:p>
    <w:p w14:paraId="7FDE1525">
      <w:pPr>
        <w:pStyle w:val="2"/>
        <w:keepNext w:val="0"/>
        <w:keepLines w:val="0"/>
        <w:pageBreakBefore w:val="0"/>
        <w:kinsoku/>
        <w:wordWrap/>
        <w:overflowPunct/>
        <w:topLinePunct w:val="0"/>
        <w:bidi w:val="0"/>
        <w:adjustRightInd/>
        <w:snapToGrid/>
        <w:spacing w:line="560" w:lineRule="exact"/>
        <w:ind w:firstLine="640" w:firstLineChars="200"/>
        <w:rPr>
          <w:rFonts w:hint="eastAsia" w:ascii="仿宋_GB2312" w:eastAsia="仿宋_GB2312"/>
          <w:kern w:val="2"/>
          <w:sz w:val="32"/>
          <w:szCs w:val="32"/>
          <w:lang w:val="en-US" w:bidi="ar-SA"/>
        </w:rPr>
      </w:pPr>
      <w:r>
        <w:rPr>
          <w:rFonts w:hint="eastAsia" w:ascii="仿宋_GB2312" w:eastAsia="仿宋_GB2312"/>
          <w:kern w:val="2"/>
          <w:sz w:val="32"/>
          <w:szCs w:val="32"/>
          <w:lang w:val="en-US" w:bidi="ar-SA"/>
        </w:rPr>
        <w:t>1.实验室设备整体质保年限</w:t>
      </w:r>
      <w:r>
        <w:rPr>
          <w:rFonts w:hint="eastAsia" w:ascii="仿宋_GB2312" w:eastAsia="仿宋_GB2312"/>
          <w:kern w:val="2"/>
          <w:sz w:val="32"/>
          <w:szCs w:val="32"/>
          <w:lang w:val="en-US" w:eastAsia="zh-CN" w:bidi="ar-SA"/>
        </w:rPr>
        <w:t>5</w:t>
      </w:r>
      <w:r>
        <w:rPr>
          <w:rFonts w:hint="eastAsia" w:ascii="仿宋_GB2312" w:eastAsia="仿宋_GB2312"/>
          <w:kern w:val="2"/>
          <w:sz w:val="32"/>
          <w:szCs w:val="32"/>
          <w:lang w:val="en-US" w:bidi="ar-SA"/>
        </w:rPr>
        <w:t>年。</w:t>
      </w:r>
    </w:p>
    <w:p w14:paraId="05DE1FFC">
      <w:pPr>
        <w:pStyle w:val="2"/>
        <w:keepNext w:val="0"/>
        <w:keepLines w:val="0"/>
        <w:pageBreakBefore w:val="0"/>
        <w:kinsoku/>
        <w:wordWrap/>
        <w:overflowPunct/>
        <w:topLinePunct w:val="0"/>
        <w:bidi w:val="0"/>
        <w:adjustRightInd/>
        <w:snapToGrid/>
        <w:spacing w:line="560" w:lineRule="exact"/>
        <w:ind w:firstLine="640" w:firstLineChars="200"/>
        <w:rPr>
          <w:rFonts w:hint="eastAsia" w:ascii="仿宋_GB2312" w:eastAsia="仿宋_GB2312"/>
          <w:kern w:val="2"/>
          <w:sz w:val="32"/>
          <w:szCs w:val="32"/>
          <w:lang w:val="en-US" w:bidi="ar-SA"/>
        </w:rPr>
      </w:pPr>
      <w:r>
        <w:rPr>
          <w:rFonts w:hint="eastAsia" w:ascii="仿宋_GB2312" w:eastAsia="仿宋_GB2312"/>
          <w:kern w:val="2"/>
          <w:sz w:val="32"/>
          <w:szCs w:val="32"/>
          <w:lang w:val="en-US" w:bidi="ar-SA"/>
        </w:rPr>
        <w:t>2.</w:t>
      </w:r>
      <w:r>
        <w:rPr>
          <w:rFonts w:hint="eastAsia" w:ascii="仿宋_GB2312" w:eastAsia="仿宋_GB2312" w:cstheme="minorBidi"/>
          <w:b w:val="0"/>
          <w:bCs w:val="0"/>
          <w:kern w:val="2"/>
          <w:sz w:val="32"/>
          <w:szCs w:val="32"/>
          <w:lang w:val="en-US" w:eastAsia="zh-CN" w:bidi="ar-SA"/>
        </w:rPr>
        <w:t>售后服务时效：如设备出现故障，接到招标人的保修电话后，2小时内回复响应，若远程指导不能解决故障，中标人需派遣维护工程师在6小时内到达现场，一般故障12小时内修复，如果12小时内无法修复，则在维修期间提供设备备品以供教学使用。</w:t>
      </w:r>
    </w:p>
    <w:p w14:paraId="357DBD9F">
      <w:pPr>
        <w:pStyle w:val="2"/>
        <w:keepNext w:val="0"/>
        <w:keepLines w:val="0"/>
        <w:pageBreakBefore w:val="0"/>
        <w:kinsoku/>
        <w:wordWrap/>
        <w:overflowPunct/>
        <w:topLinePunct w:val="0"/>
        <w:bidi w:val="0"/>
        <w:adjustRightInd/>
        <w:snapToGrid/>
        <w:spacing w:line="560" w:lineRule="exact"/>
        <w:ind w:firstLine="640" w:firstLineChars="200"/>
        <w:rPr>
          <w:rFonts w:hint="eastAsia" w:ascii="仿宋_GB2312" w:eastAsia="仿宋_GB2312"/>
          <w:kern w:val="2"/>
          <w:sz w:val="32"/>
          <w:szCs w:val="32"/>
          <w:lang w:val="en-US" w:bidi="ar-SA"/>
        </w:rPr>
      </w:pPr>
      <w:r>
        <w:rPr>
          <w:rFonts w:hint="eastAsia" w:ascii="仿宋_GB2312" w:eastAsia="仿宋_GB2312"/>
          <w:kern w:val="2"/>
          <w:sz w:val="32"/>
          <w:szCs w:val="32"/>
          <w:lang w:val="en-US" w:bidi="ar-SA"/>
        </w:rPr>
        <w:t>3.教学软件购置质保期内免费升级。</w:t>
      </w:r>
    </w:p>
    <w:p w14:paraId="0B86B0D6">
      <w:pPr>
        <w:pStyle w:val="2"/>
        <w:keepNext w:val="0"/>
        <w:keepLines w:val="0"/>
        <w:pageBreakBefore w:val="0"/>
        <w:kinsoku/>
        <w:wordWrap/>
        <w:overflowPunct/>
        <w:topLinePunct w:val="0"/>
        <w:bidi w:val="0"/>
        <w:adjustRightInd/>
        <w:snapToGrid/>
        <w:spacing w:line="560" w:lineRule="exact"/>
        <w:ind w:firstLine="640" w:firstLineChars="200"/>
        <w:rPr>
          <w:rFonts w:hint="eastAsia" w:ascii="仿宋_GB2312" w:eastAsia="仿宋_GB2312"/>
          <w:kern w:val="2"/>
          <w:sz w:val="32"/>
          <w:szCs w:val="32"/>
          <w:lang w:val="en-US" w:bidi="ar-SA"/>
        </w:rPr>
      </w:pPr>
      <w:r>
        <w:rPr>
          <w:rFonts w:hint="eastAsia" w:ascii="仿宋_GB2312" w:eastAsia="仿宋_GB2312"/>
          <w:kern w:val="2"/>
          <w:sz w:val="32"/>
          <w:szCs w:val="32"/>
          <w:lang w:val="en-US" w:bidi="ar-SA"/>
        </w:rPr>
        <w:t>4.质保期内中标供应商及其生态链企业需累计提供不少于10个相关专业的工作或实习岗位，工作地点需在湖南省内，企业与学生双向择优录取。</w:t>
      </w:r>
      <w:bookmarkStart w:id="0" w:name="_GoBack"/>
      <w:bookmarkEnd w:id="0"/>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NzIyM2U2ZWM5MjM1OGJmMWVjNTU4NjA5OGUzYTUifQ=="/>
  </w:docVars>
  <w:rsids>
    <w:rsidRoot w:val="00777A60"/>
    <w:rsid w:val="0001790E"/>
    <w:rsid w:val="00182667"/>
    <w:rsid w:val="00193C97"/>
    <w:rsid w:val="0019602D"/>
    <w:rsid w:val="00282682"/>
    <w:rsid w:val="00360115"/>
    <w:rsid w:val="00394DF9"/>
    <w:rsid w:val="003B43AB"/>
    <w:rsid w:val="00604573"/>
    <w:rsid w:val="006672B4"/>
    <w:rsid w:val="006B7C79"/>
    <w:rsid w:val="00777A60"/>
    <w:rsid w:val="009C3411"/>
    <w:rsid w:val="00B20921"/>
    <w:rsid w:val="00B6288F"/>
    <w:rsid w:val="00BE3243"/>
    <w:rsid w:val="00C0768C"/>
    <w:rsid w:val="0CA366F5"/>
    <w:rsid w:val="12B029A4"/>
    <w:rsid w:val="1ADA169B"/>
    <w:rsid w:val="239B23F8"/>
    <w:rsid w:val="2E2C5D2E"/>
    <w:rsid w:val="3F790A19"/>
    <w:rsid w:val="3F81298D"/>
    <w:rsid w:val="41827961"/>
    <w:rsid w:val="50A87993"/>
    <w:rsid w:val="574D77D9"/>
    <w:rsid w:val="59FA0101"/>
    <w:rsid w:val="69B376D3"/>
    <w:rsid w:val="6E31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kern w:val="0"/>
      <w:sz w:val="28"/>
      <w:szCs w:val="28"/>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0"/>
    <w:pPr>
      <w:autoSpaceDE w:val="0"/>
      <w:autoSpaceDN w:val="0"/>
      <w:jc w:val="left"/>
    </w:pPr>
    <w:rPr>
      <w:rFonts w:ascii="宋体" w:hAnsi="宋体"/>
      <w:kern w:val="0"/>
      <w:sz w:val="22"/>
      <w:lang w:val="zh-CN" w:bidi="zh-CN"/>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6521</Words>
  <Characters>7287</Characters>
  <Lines>205</Lines>
  <Paragraphs>136</Paragraphs>
  <TotalTime>0</TotalTime>
  <ScaleCrop>false</ScaleCrop>
  <LinksUpToDate>false</LinksUpToDate>
  <CharactersWithSpaces>7331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2025-07-12T13:05:00Z</dcterms:created>
  <dc:creator>徐</dc:creator>
  <cp:lastModifiedBy>香格里拉</cp:lastModifiedBy>
  <cp:lastPrinted>2025-07-18T01:36:00Z</cp:lastPrinted>
  <dcterms:modified xsi:type="dcterms:W3CDTF">2025-07-26T12:35:16Z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8F4B066FB7BF4C5E99B8637EABC68875_13</vt:lpwstr>
  </property>
  <property fmtid="{D5CDD505-2E9C-101B-9397-08002B2CF9AE}" pid="4" name="KSOTemplateDocerSaveRecord">
    <vt:lpwstr>eyJoZGlkIjoiMDJiZDI5YjE4MmRmOWJjYTAyYzc2MWE3ZDFiY2MxN2EiLCJ1c2VySWQiOiIxMTYxNjM5ODgyIn0=</vt:lpwstr>
  </property>
</Properties>
</file>